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CC5" w:rsidRPr="00710543" w:rsidRDefault="00BC382D"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p>
    <w:p w:rsidR="00965AC2" w:rsidRPr="00710543" w:rsidRDefault="005E6B19" w:rsidP="00710543">
      <w:pPr>
        <w:tabs>
          <w:tab w:val="left" w:pos="11972"/>
        </w:tabs>
        <w:spacing w:line="480" w:lineRule="auto"/>
        <w:rPr>
          <w:rFonts w:ascii="Times New Roman" w:hAnsi="Times New Roman" w:cs="Times New Roman"/>
          <w:sz w:val="24"/>
          <w:szCs w:val="24"/>
        </w:rPr>
      </w:pPr>
      <w:r w:rsidRPr="00710543">
        <w:rPr>
          <w:rFonts w:ascii="Times New Roman" w:hAnsi="Times New Roman" w:cs="Times New Roman"/>
          <w:sz w:val="24"/>
          <w:szCs w:val="24"/>
        </w:rPr>
        <w:t xml:space="preserve">                                                           </w:t>
      </w:r>
      <w:r w:rsidR="00BC382D" w:rsidRPr="00710543">
        <w:rPr>
          <w:rFonts w:ascii="Times New Roman" w:hAnsi="Times New Roman" w:cs="Times New Roman"/>
          <w:sz w:val="24"/>
          <w:szCs w:val="24"/>
        </w:rPr>
        <w:t>Name</w:t>
      </w:r>
      <w:r w:rsidR="00F02C9C" w:rsidRPr="00710543">
        <w:rPr>
          <w:rFonts w:ascii="Times New Roman" w:hAnsi="Times New Roman" w:cs="Times New Roman"/>
          <w:sz w:val="24"/>
          <w:szCs w:val="24"/>
        </w:rPr>
        <w:t xml:space="preserve"> ………………………………………..</w:t>
      </w:r>
      <w:r w:rsidR="00C70E05" w:rsidRPr="00710543">
        <w:rPr>
          <w:rFonts w:ascii="Times New Roman" w:hAnsi="Times New Roman" w:cs="Times New Roman"/>
          <w:sz w:val="24"/>
          <w:szCs w:val="24"/>
        </w:rPr>
        <w:tab/>
      </w:r>
    </w:p>
    <w:p w:rsidR="00BC382D" w:rsidRPr="00710543" w:rsidRDefault="00BC382D"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00F02C9C" w:rsidRPr="00710543">
        <w:rPr>
          <w:rFonts w:ascii="Times New Roman" w:hAnsi="Times New Roman" w:cs="Times New Roman"/>
          <w:sz w:val="24"/>
          <w:szCs w:val="24"/>
        </w:rPr>
        <w:tab/>
      </w:r>
      <w:r w:rsidRPr="00710543">
        <w:rPr>
          <w:rFonts w:ascii="Times New Roman" w:hAnsi="Times New Roman" w:cs="Times New Roman"/>
          <w:sz w:val="24"/>
          <w:szCs w:val="24"/>
        </w:rPr>
        <w:t>Instructor</w:t>
      </w:r>
      <w:r w:rsidR="00F02C9C" w:rsidRPr="00710543">
        <w:rPr>
          <w:rFonts w:ascii="Times New Roman" w:hAnsi="Times New Roman" w:cs="Times New Roman"/>
          <w:sz w:val="24"/>
          <w:szCs w:val="24"/>
        </w:rPr>
        <w:t xml:space="preserve"> ……………………………………</w:t>
      </w:r>
    </w:p>
    <w:p w:rsidR="00BC382D" w:rsidRPr="00710543" w:rsidRDefault="00BC382D"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00F02C9C" w:rsidRPr="00710543">
        <w:rPr>
          <w:rFonts w:ascii="Times New Roman" w:hAnsi="Times New Roman" w:cs="Times New Roman"/>
          <w:sz w:val="24"/>
          <w:szCs w:val="24"/>
        </w:rPr>
        <w:tab/>
      </w:r>
      <w:r w:rsidRPr="00710543">
        <w:rPr>
          <w:rFonts w:ascii="Times New Roman" w:hAnsi="Times New Roman" w:cs="Times New Roman"/>
          <w:sz w:val="24"/>
          <w:szCs w:val="24"/>
        </w:rPr>
        <w:t>Course</w:t>
      </w:r>
      <w:r w:rsidRPr="00710543">
        <w:rPr>
          <w:rFonts w:ascii="Times New Roman" w:hAnsi="Times New Roman" w:cs="Times New Roman"/>
          <w:sz w:val="24"/>
          <w:szCs w:val="24"/>
        </w:rPr>
        <w:tab/>
      </w:r>
      <w:r w:rsidR="00F02C9C" w:rsidRPr="00710543">
        <w:rPr>
          <w:rFonts w:ascii="Times New Roman" w:hAnsi="Times New Roman" w:cs="Times New Roman"/>
          <w:sz w:val="24"/>
          <w:szCs w:val="24"/>
        </w:rPr>
        <w:t>……………………</w:t>
      </w:r>
    </w:p>
    <w:p w:rsidR="00BC382D" w:rsidRPr="00710543" w:rsidRDefault="00BC382D" w:rsidP="009A7474">
      <w:pPr>
        <w:spacing w:line="480" w:lineRule="auto"/>
        <w:rPr>
          <w:rFonts w:ascii="Times New Roman" w:hAnsi="Times New Roman" w:cs="Times New Roman"/>
          <w:sz w:val="24"/>
          <w:szCs w:val="24"/>
        </w:rPr>
      </w:pP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r w:rsidR="00F02C9C" w:rsidRPr="00710543">
        <w:rPr>
          <w:rFonts w:ascii="Times New Roman" w:hAnsi="Times New Roman" w:cs="Times New Roman"/>
          <w:sz w:val="24"/>
          <w:szCs w:val="24"/>
        </w:rPr>
        <w:tab/>
      </w:r>
      <w:r w:rsidRPr="00710543">
        <w:rPr>
          <w:rFonts w:ascii="Times New Roman" w:hAnsi="Times New Roman" w:cs="Times New Roman"/>
          <w:sz w:val="24"/>
          <w:szCs w:val="24"/>
        </w:rPr>
        <w:t xml:space="preserve">Date </w:t>
      </w:r>
      <w:r w:rsidR="009A7474">
        <w:rPr>
          <w:rFonts w:ascii="Times New Roman" w:hAnsi="Times New Roman" w:cs="Times New Roman"/>
          <w:sz w:val="24"/>
          <w:szCs w:val="24"/>
        </w:rPr>
        <w:t>…………………</w:t>
      </w: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9A7474" w:rsidRDefault="009A7474" w:rsidP="00710543">
      <w:pPr>
        <w:spacing w:line="480" w:lineRule="auto"/>
        <w:ind w:left="3600" w:firstLine="720"/>
        <w:jc w:val="both"/>
        <w:rPr>
          <w:rFonts w:ascii="Times New Roman" w:hAnsi="Times New Roman" w:cs="Times New Roman"/>
          <w:b/>
          <w:sz w:val="24"/>
          <w:szCs w:val="24"/>
        </w:rPr>
      </w:pPr>
    </w:p>
    <w:p w:rsidR="00BC382D" w:rsidRPr="00710543" w:rsidRDefault="005E6B19" w:rsidP="00710543">
      <w:pPr>
        <w:spacing w:line="480" w:lineRule="auto"/>
        <w:ind w:left="3600" w:firstLine="720"/>
        <w:jc w:val="both"/>
        <w:rPr>
          <w:rFonts w:ascii="Times New Roman" w:hAnsi="Times New Roman" w:cs="Times New Roman"/>
          <w:b/>
          <w:sz w:val="24"/>
          <w:szCs w:val="24"/>
        </w:rPr>
      </w:pPr>
      <w:r w:rsidRPr="00710543">
        <w:rPr>
          <w:rFonts w:ascii="Times New Roman" w:hAnsi="Times New Roman" w:cs="Times New Roman"/>
          <w:b/>
          <w:sz w:val="24"/>
          <w:szCs w:val="24"/>
        </w:rPr>
        <w:lastRenderedPageBreak/>
        <w:t>INTRODUCTION</w:t>
      </w:r>
    </w:p>
    <w:p w:rsidR="00BC382D" w:rsidRPr="00710543" w:rsidRDefault="00BC382D"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Aboriginal identity refers to whether the person reported being an Aboriginal person, that is first Nations merits or lnuk</w:t>
      </w:r>
      <w:r w:rsidR="00E43E28" w:rsidRPr="00710543">
        <w:rPr>
          <w:rFonts w:ascii="Times New Roman" w:hAnsi="Times New Roman" w:cs="Times New Roman"/>
          <w:sz w:val="24"/>
          <w:szCs w:val="24"/>
        </w:rPr>
        <w:t>(</w:t>
      </w:r>
      <w:r w:rsidR="00254E30" w:rsidRPr="00710543">
        <w:rPr>
          <w:rFonts w:ascii="Times New Roman" w:hAnsi="Times New Roman" w:cs="Times New Roman"/>
          <w:sz w:val="24"/>
          <w:szCs w:val="24"/>
        </w:rPr>
        <w:t>Inuit</w:t>
      </w:r>
      <w:r w:rsidR="00E43E28" w:rsidRPr="00710543">
        <w:rPr>
          <w:rFonts w:ascii="Times New Roman" w:hAnsi="Times New Roman" w:cs="Times New Roman"/>
          <w:sz w:val="24"/>
          <w:szCs w:val="24"/>
        </w:rPr>
        <w:t xml:space="preserve">) and being a registered or treaty </w:t>
      </w:r>
      <w:r w:rsidR="00254E30" w:rsidRPr="00710543">
        <w:rPr>
          <w:rFonts w:ascii="Times New Roman" w:hAnsi="Times New Roman" w:cs="Times New Roman"/>
          <w:sz w:val="24"/>
          <w:szCs w:val="24"/>
        </w:rPr>
        <w:t>Indian</w:t>
      </w:r>
      <w:r w:rsidR="00E43E28" w:rsidRPr="00710543">
        <w:rPr>
          <w:rFonts w:ascii="Times New Roman" w:hAnsi="Times New Roman" w:cs="Times New Roman"/>
          <w:sz w:val="24"/>
          <w:szCs w:val="24"/>
        </w:rPr>
        <w:t xml:space="preserve"> and being a member of a first nation or </w:t>
      </w:r>
      <w:r w:rsidR="00254E30" w:rsidRPr="00710543">
        <w:rPr>
          <w:rFonts w:ascii="Times New Roman" w:hAnsi="Times New Roman" w:cs="Times New Roman"/>
          <w:sz w:val="24"/>
          <w:szCs w:val="24"/>
        </w:rPr>
        <w:t>Indian</w:t>
      </w:r>
      <w:r w:rsidR="00E43E28" w:rsidRPr="00710543">
        <w:rPr>
          <w:rFonts w:ascii="Times New Roman" w:hAnsi="Times New Roman" w:cs="Times New Roman"/>
          <w:sz w:val="24"/>
          <w:szCs w:val="24"/>
        </w:rPr>
        <w:t xml:space="preserve"> band. The Aboriginals have always been the underdogs given the poor treatment and lack of justice provided by the Canadian government.</w:t>
      </w:r>
    </w:p>
    <w:p w:rsidR="00E43E28" w:rsidRPr="00710543" w:rsidRDefault="00E43E28"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 xml:space="preserve">Due to this, I </w:t>
      </w:r>
      <w:r w:rsidR="00254E30" w:rsidRPr="00710543">
        <w:rPr>
          <w:rFonts w:ascii="Times New Roman" w:hAnsi="Times New Roman" w:cs="Times New Roman"/>
          <w:sz w:val="24"/>
          <w:szCs w:val="24"/>
        </w:rPr>
        <w:t>came</w:t>
      </w:r>
      <w:r w:rsidRPr="00710543">
        <w:rPr>
          <w:rFonts w:ascii="Times New Roman" w:hAnsi="Times New Roman" w:cs="Times New Roman"/>
          <w:sz w:val="24"/>
          <w:szCs w:val="24"/>
        </w:rPr>
        <w:t xml:space="preserve"> up with </w:t>
      </w:r>
      <w:r w:rsidR="00254E30" w:rsidRPr="00710543">
        <w:rPr>
          <w:rFonts w:ascii="Times New Roman" w:hAnsi="Times New Roman" w:cs="Times New Roman"/>
          <w:sz w:val="24"/>
          <w:szCs w:val="24"/>
        </w:rPr>
        <w:t>a</w:t>
      </w:r>
      <w:r w:rsidRPr="00710543">
        <w:rPr>
          <w:rFonts w:ascii="Times New Roman" w:hAnsi="Times New Roman" w:cs="Times New Roman"/>
          <w:sz w:val="24"/>
          <w:szCs w:val="24"/>
        </w:rPr>
        <w:t xml:space="preserve"> hypothesis which states that. </w:t>
      </w:r>
      <w:r w:rsidR="00254E30" w:rsidRPr="00710543">
        <w:rPr>
          <w:rFonts w:ascii="Times New Roman" w:hAnsi="Times New Roman" w:cs="Times New Roman"/>
          <w:sz w:val="24"/>
          <w:szCs w:val="24"/>
        </w:rPr>
        <w:t>If an</w:t>
      </w:r>
      <w:r w:rsidRPr="00710543">
        <w:rPr>
          <w:rFonts w:ascii="Times New Roman" w:hAnsi="Times New Roman" w:cs="Times New Roman"/>
          <w:sz w:val="24"/>
          <w:szCs w:val="24"/>
        </w:rPr>
        <w:t xml:space="preserve"> Aboriginal identity was linked to the number of youth admission to correctional service then </w:t>
      </w:r>
      <w:r w:rsidR="005235F3" w:rsidRPr="00710543">
        <w:rPr>
          <w:rFonts w:ascii="Times New Roman" w:hAnsi="Times New Roman" w:cs="Times New Roman"/>
          <w:sz w:val="24"/>
          <w:szCs w:val="24"/>
        </w:rPr>
        <w:t xml:space="preserve">  yearly there are more Aboriginal admissions.</w:t>
      </w:r>
    </w:p>
    <w:p w:rsidR="005235F3" w:rsidRPr="00710543" w:rsidRDefault="005235F3"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 xml:space="preserve">The information provided in the report will either support or disapprove my </w:t>
      </w:r>
      <w:r w:rsidR="00254E30" w:rsidRPr="00710543">
        <w:rPr>
          <w:rFonts w:ascii="Times New Roman" w:hAnsi="Times New Roman" w:cs="Times New Roman"/>
          <w:sz w:val="24"/>
          <w:szCs w:val="24"/>
        </w:rPr>
        <w:t>hypothesis</w:t>
      </w:r>
      <w:r w:rsidRPr="00710543">
        <w:rPr>
          <w:rFonts w:ascii="Times New Roman" w:hAnsi="Times New Roman" w:cs="Times New Roman"/>
          <w:sz w:val="24"/>
          <w:szCs w:val="24"/>
        </w:rPr>
        <w:t xml:space="preserve"> that, if Aboriginal </w:t>
      </w:r>
      <w:r w:rsidR="00254E30" w:rsidRPr="00710543">
        <w:rPr>
          <w:rFonts w:ascii="Times New Roman" w:hAnsi="Times New Roman" w:cs="Times New Roman"/>
          <w:sz w:val="24"/>
          <w:szCs w:val="24"/>
        </w:rPr>
        <w:t>identify</w:t>
      </w:r>
      <w:r w:rsidRPr="00710543">
        <w:rPr>
          <w:rFonts w:ascii="Times New Roman" w:hAnsi="Times New Roman" w:cs="Times New Roman"/>
          <w:sz w:val="24"/>
          <w:szCs w:val="24"/>
        </w:rPr>
        <w:t xml:space="preserve"> was linked to number of youth admissions to correctional </w:t>
      </w:r>
      <w:r w:rsidR="00254E30" w:rsidRPr="00710543">
        <w:rPr>
          <w:rFonts w:ascii="Times New Roman" w:hAnsi="Times New Roman" w:cs="Times New Roman"/>
          <w:sz w:val="24"/>
          <w:szCs w:val="24"/>
        </w:rPr>
        <w:t>services</w:t>
      </w:r>
      <w:r w:rsidRPr="00710543">
        <w:rPr>
          <w:rFonts w:ascii="Times New Roman" w:hAnsi="Times New Roman" w:cs="Times New Roman"/>
          <w:sz w:val="24"/>
          <w:szCs w:val="24"/>
        </w:rPr>
        <w:t xml:space="preserve"> then yearly </w:t>
      </w:r>
      <w:r w:rsidR="00254E30" w:rsidRPr="00710543">
        <w:rPr>
          <w:rFonts w:ascii="Times New Roman" w:hAnsi="Times New Roman" w:cs="Times New Roman"/>
          <w:sz w:val="24"/>
          <w:szCs w:val="24"/>
        </w:rPr>
        <w:t>there</w:t>
      </w:r>
      <w:r w:rsidRPr="00710543">
        <w:rPr>
          <w:rFonts w:ascii="Times New Roman" w:hAnsi="Times New Roman" w:cs="Times New Roman"/>
          <w:sz w:val="24"/>
          <w:szCs w:val="24"/>
        </w:rPr>
        <w:t xml:space="preserve"> are more Aboriginal admissions compared to non-Aboriginal admissions.</w:t>
      </w:r>
    </w:p>
    <w:p w:rsidR="005235F3" w:rsidRPr="00710543" w:rsidRDefault="005235F3"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The information provided in the report will either support or disapprove my hypothesis that, if Aboriginal identity was linked to number of youth admissions to correctional services then yearly there are more Aboriginal admi</w:t>
      </w:r>
      <w:r w:rsidR="00254E30" w:rsidRPr="00710543">
        <w:rPr>
          <w:rFonts w:ascii="Times New Roman" w:hAnsi="Times New Roman" w:cs="Times New Roman"/>
          <w:sz w:val="24"/>
          <w:szCs w:val="24"/>
        </w:rPr>
        <w:t>ssions compared to non-Aboriginal admissions.</w:t>
      </w:r>
    </w:p>
    <w:p w:rsidR="00254E30" w:rsidRPr="00710543" w:rsidRDefault="00254E30"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r>
      <w:r w:rsidRPr="00710543">
        <w:rPr>
          <w:rFonts w:ascii="Times New Roman" w:hAnsi="Times New Roman" w:cs="Times New Roman"/>
          <w:sz w:val="24"/>
          <w:szCs w:val="24"/>
        </w:rPr>
        <w:tab/>
      </w:r>
      <w:r w:rsidRPr="00710543">
        <w:rPr>
          <w:rFonts w:ascii="Times New Roman" w:hAnsi="Times New Roman" w:cs="Times New Roman"/>
          <w:sz w:val="24"/>
          <w:szCs w:val="24"/>
        </w:rPr>
        <w:tab/>
      </w:r>
    </w:p>
    <w:p w:rsidR="009A7474" w:rsidRDefault="009A7474" w:rsidP="00710543">
      <w:pPr>
        <w:tabs>
          <w:tab w:val="left" w:pos="6179"/>
          <w:tab w:val="center" w:pos="7920"/>
        </w:tabs>
        <w:spacing w:line="480" w:lineRule="auto"/>
        <w:ind w:left="2160" w:firstLine="720"/>
        <w:rPr>
          <w:rFonts w:ascii="Times New Roman" w:hAnsi="Times New Roman" w:cs="Times New Roman"/>
          <w:b/>
          <w:sz w:val="24"/>
          <w:szCs w:val="24"/>
        </w:rPr>
      </w:pPr>
    </w:p>
    <w:p w:rsidR="00254E30" w:rsidRPr="00710543" w:rsidRDefault="005E6B19" w:rsidP="00710543">
      <w:pPr>
        <w:tabs>
          <w:tab w:val="left" w:pos="6179"/>
          <w:tab w:val="center" w:pos="7920"/>
        </w:tabs>
        <w:spacing w:line="480" w:lineRule="auto"/>
        <w:ind w:left="2160" w:firstLine="720"/>
        <w:rPr>
          <w:rFonts w:ascii="Times New Roman" w:hAnsi="Times New Roman" w:cs="Times New Roman"/>
          <w:b/>
          <w:sz w:val="24"/>
          <w:szCs w:val="24"/>
        </w:rPr>
      </w:pPr>
      <w:r w:rsidRPr="00710543">
        <w:rPr>
          <w:rFonts w:ascii="Times New Roman" w:hAnsi="Times New Roman" w:cs="Times New Roman"/>
          <w:b/>
          <w:sz w:val="24"/>
          <w:szCs w:val="24"/>
        </w:rPr>
        <w:lastRenderedPageBreak/>
        <w:t>PLAN AND METHODOLOGY</w:t>
      </w:r>
    </w:p>
    <w:p w:rsidR="00254E30" w:rsidRPr="00710543" w:rsidRDefault="00254E30"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After stating my hypothesis it was necessary to gather enough data to roughly prove my hypothesis.</w:t>
      </w:r>
    </w:p>
    <w:p w:rsidR="00254E30" w:rsidRPr="00710543" w:rsidRDefault="00254E30"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 xml:space="preserve">Data for both age groups for </w:t>
      </w:r>
      <w:r w:rsidR="00DE2102" w:rsidRPr="00710543">
        <w:rPr>
          <w:rFonts w:ascii="Times New Roman" w:hAnsi="Times New Roman" w:cs="Times New Roman"/>
          <w:sz w:val="24"/>
          <w:szCs w:val="24"/>
        </w:rPr>
        <w:t>Aboriginal and</w:t>
      </w:r>
      <w:r w:rsidRPr="00710543">
        <w:rPr>
          <w:rFonts w:ascii="Times New Roman" w:hAnsi="Times New Roman" w:cs="Times New Roman"/>
          <w:sz w:val="24"/>
          <w:szCs w:val="24"/>
        </w:rPr>
        <w:t xml:space="preserve"> non-Aboriginal people were indirectly age standardized according to their respective weighted average population for June 2006</w:t>
      </w:r>
      <w:r w:rsidR="00DE2102" w:rsidRPr="00710543">
        <w:rPr>
          <w:rFonts w:ascii="Times New Roman" w:hAnsi="Times New Roman" w:cs="Times New Roman"/>
          <w:sz w:val="24"/>
          <w:szCs w:val="24"/>
        </w:rPr>
        <w:t>, 2007</w:t>
      </w:r>
      <w:r w:rsidRPr="00710543">
        <w:rPr>
          <w:rFonts w:ascii="Times New Roman" w:hAnsi="Times New Roman" w:cs="Times New Roman"/>
          <w:sz w:val="24"/>
          <w:szCs w:val="24"/>
        </w:rPr>
        <w:t xml:space="preserve"> and 2008. For Aboriginal people, the populations used were experimental estimates from the Australian </w:t>
      </w:r>
      <w:r w:rsidR="00DE2102" w:rsidRPr="00710543">
        <w:rPr>
          <w:rFonts w:ascii="Times New Roman" w:hAnsi="Times New Roman" w:cs="Times New Roman"/>
          <w:sz w:val="24"/>
          <w:szCs w:val="24"/>
        </w:rPr>
        <w:t>Bureau</w:t>
      </w:r>
      <w:r w:rsidRPr="00710543">
        <w:rPr>
          <w:rFonts w:ascii="Times New Roman" w:hAnsi="Times New Roman" w:cs="Times New Roman"/>
          <w:sz w:val="24"/>
          <w:szCs w:val="24"/>
        </w:rPr>
        <w:t xml:space="preserve"> of statistic </w:t>
      </w:r>
      <w:r w:rsidR="00DE2102" w:rsidRPr="00710543">
        <w:rPr>
          <w:rFonts w:ascii="Times New Roman" w:hAnsi="Times New Roman" w:cs="Times New Roman"/>
          <w:sz w:val="24"/>
          <w:szCs w:val="24"/>
        </w:rPr>
        <w:t>(ABS</w:t>
      </w:r>
      <w:r w:rsidR="008E1532" w:rsidRPr="00710543">
        <w:rPr>
          <w:rFonts w:ascii="Times New Roman" w:hAnsi="Times New Roman" w:cs="Times New Roman"/>
          <w:sz w:val="24"/>
          <w:szCs w:val="24"/>
        </w:rPr>
        <w:t xml:space="preserve"> 2009a).</w:t>
      </w:r>
    </w:p>
    <w:p w:rsidR="008E1532" w:rsidRPr="00710543" w:rsidRDefault="008E1532"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For non-Aboriginal people, populations were calculated from weighted population over the period 2006 and 2008 (ABS 2009b), less the figures obtained for the Aboriginal population.</w:t>
      </w:r>
    </w:p>
    <w:p w:rsidR="008E1532" w:rsidRPr="00710543" w:rsidRDefault="008E1532"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Method used was:</w:t>
      </w:r>
    </w:p>
    <w:p w:rsidR="008E1532" w:rsidRPr="00710543" w:rsidRDefault="008E1532" w:rsidP="00710543">
      <w:pPr>
        <w:pStyle w:val="ListParagraph"/>
        <w:numPr>
          <w:ilvl w:val="0"/>
          <w:numId w:val="1"/>
        </w:numPr>
        <w:spacing w:line="480" w:lineRule="auto"/>
        <w:rPr>
          <w:rFonts w:ascii="Times New Roman" w:hAnsi="Times New Roman" w:cs="Times New Roman"/>
          <w:sz w:val="24"/>
          <w:szCs w:val="24"/>
        </w:rPr>
      </w:pPr>
      <w:r w:rsidRPr="00710543">
        <w:rPr>
          <w:rFonts w:ascii="Times New Roman" w:hAnsi="Times New Roman" w:cs="Times New Roman"/>
          <w:sz w:val="24"/>
          <w:szCs w:val="24"/>
        </w:rPr>
        <w:t>Calculation of ratios</w:t>
      </w:r>
    </w:p>
    <w:p w:rsidR="008E1532" w:rsidRPr="00710543" w:rsidRDefault="008E1532" w:rsidP="00710543">
      <w:pPr>
        <w:pStyle w:val="ListParagraph"/>
        <w:numPr>
          <w:ilvl w:val="0"/>
          <w:numId w:val="1"/>
        </w:numPr>
        <w:spacing w:line="480" w:lineRule="auto"/>
        <w:rPr>
          <w:rFonts w:ascii="Times New Roman" w:hAnsi="Times New Roman" w:cs="Times New Roman"/>
          <w:sz w:val="24"/>
          <w:szCs w:val="24"/>
        </w:rPr>
      </w:pPr>
      <w:r w:rsidRPr="00710543">
        <w:rPr>
          <w:rFonts w:ascii="Times New Roman" w:hAnsi="Times New Roman" w:cs="Times New Roman"/>
          <w:sz w:val="24"/>
          <w:szCs w:val="24"/>
        </w:rPr>
        <w:t>Rate ratios</w:t>
      </w:r>
    </w:p>
    <w:p w:rsidR="008E1532" w:rsidRPr="00710543" w:rsidRDefault="008E1532" w:rsidP="00710543">
      <w:pPr>
        <w:pStyle w:val="ListParagraph"/>
        <w:numPr>
          <w:ilvl w:val="0"/>
          <w:numId w:val="1"/>
        </w:numPr>
        <w:spacing w:line="480" w:lineRule="auto"/>
        <w:rPr>
          <w:rFonts w:ascii="Times New Roman" w:hAnsi="Times New Roman" w:cs="Times New Roman"/>
          <w:sz w:val="24"/>
          <w:szCs w:val="24"/>
        </w:rPr>
      </w:pPr>
      <w:r w:rsidRPr="00710543">
        <w:rPr>
          <w:rFonts w:ascii="Times New Roman" w:hAnsi="Times New Roman" w:cs="Times New Roman"/>
          <w:sz w:val="24"/>
          <w:szCs w:val="24"/>
        </w:rPr>
        <w:t>Confidence intervals</w:t>
      </w: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8E1532" w:rsidP="00710543">
      <w:pPr>
        <w:pStyle w:val="ListParagraph"/>
        <w:spacing w:line="480" w:lineRule="auto"/>
        <w:rPr>
          <w:rFonts w:ascii="Times New Roman" w:hAnsi="Times New Roman" w:cs="Times New Roman"/>
          <w:sz w:val="24"/>
          <w:szCs w:val="24"/>
        </w:rPr>
      </w:pPr>
    </w:p>
    <w:p w:rsidR="008E1532" w:rsidRPr="00710543" w:rsidRDefault="00DE2102" w:rsidP="00710543">
      <w:pPr>
        <w:pStyle w:val="ListParagraph"/>
        <w:numPr>
          <w:ilvl w:val="0"/>
          <w:numId w:val="3"/>
        </w:numPr>
        <w:spacing w:line="480" w:lineRule="auto"/>
        <w:rPr>
          <w:rFonts w:ascii="Times New Roman" w:hAnsi="Times New Roman" w:cs="Times New Roman"/>
          <w:sz w:val="24"/>
          <w:szCs w:val="24"/>
        </w:rPr>
      </w:pPr>
      <w:r w:rsidRPr="00710543">
        <w:rPr>
          <w:rFonts w:ascii="Times New Roman" w:hAnsi="Times New Roman" w:cs="Times New Roman"/>
          <w:sz w:val="24"/>
          <w:szCs w:val="24"/>
        </w:rPr>
        <w:t>Calculation of rates.</w:t>
      </w:r>
    </w:p>
    <w:p w:rsidR="008E1532" w:rsidRPr="00710543" w:rsidRDefault="008E1532" w:rsidP="00710543">
      <w:pPr>
        <w:spacing w:line="480" w:lineRule="auto"/>
        <w:ind w:left="720"/>
        <w:rPr>
          <w:rFonts w:ascii="Times New Roman" w:hAnsi="Times New Roman" w:cs="Times New Roman"/>
          <w:sz w:val="24"/>
          <w:szCs w:val="24"/>
        </w:rPr>
      </w:pPr>
      <w:r w:rsidRPr="00710543">
        <w:rPr>
          <w:rFonts w:ascii="Times New Roman" w:hAnsi="Times New Roman" w:cs="Times New Roman"/>
          <w:sz w:val="24"/>
          <w:szCs w:val="24"/>
        </w:rPr>
        <w:t xml:space="preserve">Rates are presented as the number of admission per 100,000 people. The standardized ratio (SR) is also presented and shows the </w:t>
      </w:r>
      <w:r w:rsidR="00DE2102" w:rsidRPr="00710543">
        <w:rPr>
          <w:rFonts w:ascii="Times New Roman" w:hAnsi="Times New Roman" w:cs="Times New Roman"/>
          <w:sz w:val="24"/>
          <w:szCs w:val="24"/>
        </w:rPr>
        <w:t>extent</w:t>
      </w:r>
      <w:r w:rsidRPr="00710543">
        <w:rPr>
          <w:rFonts w:ascii="Times New Roman" w:hAnsi="Times New Roman" w:cs="Times New Roman"/>
          <w:sz w:val="24"/>
          <w:szCs w:val="24"/>
        </w:rPr>
        <w:t xml:space="preserve"> to which the rate for a particular group (</w:t>
      </w:r>
      <w:r w:rsidR="00DE2102" w:rsidRPr="00710543">
        <w:rPr>
          <w:rFonts w:ascii="Times New Roman" w:hAnsi="Times New Roman" w:cs="Times New Roman"/>
          <w:sz w:val="24"/>
          <w:szCs w:val="24"/>
        </w:rPr>
        <w:t>e.g.</w:t>
      </w:r>
      <w:r w:rsidRPr="00710543">
        <w:rPr>
          <w:rFonts w:ascii="Times New Roman" w:hAnsi="Times New Roman" w:cs="Times New Roman"/>
          <w:sz w:val="24"/>
          <w:szCs w:val="24"/>
        </w:rPr>
        <w:t>Aborigical people) varies from the level expected</w:t>
      </w:r>
      <w:r w:rsidR="00DE2102" w:rsidRPr="00710543">
        <w:rPr>
          <w:rFonts w:ascii="Times New Roman" w:hAnsi="Times New Roman" w:cs="Times New Roman"/>
          <w:sz w:val="24"/>
          <w:szCs w:val="24"/>
        </w:rPr>
        <w:t xml:space="preserve"> if the rates for the south Australian population had applied in the region, remoteness area, age group, etc. for example, if the standardized ration for a region is 130, this means that the number of admissions in the region in 30 percent higher than would be the case. If admission rate for the state as a whole had applied in that region.</w:t>
      </w:r>
    </w:p>
    <w:p w:rsidR="00DE2102" w:rsidRPr="00710543" w:rsidRDefault="00DE2102" w:rsidP="00710543">
      <w:pPr>
        <w:pStyle w:val="ListParagraph"/>
        <w:numPr>
          <w:ilvl w:val="0"/>
          <w:numId w:val="3"/>
        </w:numPr>
        <w:spacing w:line="480" w:lineRule="auto"/>
        <w:rPr>
          <w:rFonts w:ascii="Times New Roman" w:hAnsi="Times New Roman" w:cs="Times New Roman"/>
          <w:sz w:val="24"/>
          <w:szCs w:val="24"/>
        </w:rPr>
      </w:pPr>
      <w:r w:rsidRPr="00710543">
        <w:rPr>
          <w:rFonts w:ascii="Times New Roman" w:hAnsi="Times New Roman" w:cs="Times New Roman"/>
          <w:sz w:val="24"/>
          <w:szCs w:val="24"/>
        </w:rPr>
        <w:t>Rate ratios</w:t>
      </w:r>
    </w:p>
    <w:p w:rsidR="00DE2102" w:rsidRPr="00710543" w:rsidRDefault="00DE2102" w:rsidP="00710543">
      <w:pPr>
        <w:spacing w:line="480" w:lineRule="auto"/>
        <w:ind w:left="720"/>
        <w:rPr>
          <w:rFonts w:ascii="Times New Roman" w:hAnsi="Times New Roman" w:cs="Times New Roman"/>
          <w:sz w:val="24"/>
          <w:szCs w:val="24"/>
        </w:rPr>
      </w:pPr>
      <w:r w:rsidRPr="00710543">
        <w:rPr>
          <w:rFonts w:ascii="Times New Roman" w:hAnsi="Times New Roman" w:cs="Times New Roman"/>
          <w:sz w:val="24"/>
          <w:szCs w:val="24"/>
        </w:rPr>
        <w:t>Rate ratios are used as the main comparator between admission rates for the Aboriginal and non-Aboriginal populations.</w:t>
      </w:r>
    </w:p>
    <w:p w:rsidR="00DE2102" w:rsidRPr="00710543" w:rsidRDefault="00DE2102" w:rsidP="00710543">
      <w:pPr>
        <w:spacing w:line="480" w:lineRule="auto"/>
        <w:ind w:left="720"/>
        <w:rPr>
          <w:rFonts w:ascii="Times New Roman" w:hAnsi="Times New Roman" w:cs="Times New Roman"/>
          <w:sz w:val="24"/>
          <w:szCs w:val="24"/>
        </w:rPr>
      </w:pPr>
    </w:p>
    <w:p w:rsidR="00DE2102" w:rsidRPr="00710543" w:rsidRDefault="00DE2102" w:rsidP="00710543">
      <w:pPr>
        <w:pStyle w:val="ListParagraph"/>
        <w:numPr>
          <w:ilvl w:val="0"/>
          <w:numId w:val="3"/>
        </w:numPr>
        <w:spacing w:line="480" w:lineRule="auto"/>
        <w:rPr>
          <w:rFonts w:ascii="Times New Roman" w:hAnsi="Times New Roman" w:cs="Times New Roman"/>
          <w:sz w:val="24"/>
          <w:szCs w:val="24"/>
        </w:rPr>
      </w:pPr>
      <w:r w:rsidRPr="00710543">
        <w:rPr>
          <w:rFonts w:ascii="Times New Roman" w:hAnsi="Times New Roman" w:cs="Times New Roman"/>
          <w:sz w:val="24"/>
          <w:szCs w:val="24"/>
        </w:rPr>
        <w:t>Confidence intervals</w:t>
      </w:r>
    </w:p>
    <w:p w:rsidR="00DE2102" w:rsidRPr="00710543" w:rsidRDefault="00DE2102" w:rsidP="00710543">
      <w:pPr>
        <w:spacing w:line="480" w:lineRule="auto"/>
        <w:ind w:left="720"/>
        <w:rPr>
          <w:rFonts w:ascii="Times New Roman" w:hAnsi="Times New Roman" w:cs="Times New Roman"/>
          <w:sz w:val="24"/>
          <w:szCs w:val="24"/>
        </w:rPr>
      </w:pPr>
      <w:r w:rsidRPr="00710543">
        <w:rPr>
          <w:rFonts w:ascii="Times New Roman" w:hAnsi="Times New Roman" w:cs="Times New Roman"/>
          <w:sz w:val="24"/>
          <w:szCs w:val="24"/>
        </w:rPr>
        <w:t>They are reported at 95% level for the total Aboriginal to non-Aboriginal admissions for the total admission rates all diseases.</w:t>
      </w:r>
    </w:p>
    <w:p w:rsidR="00DE2102" w:rsidRPr="00710543" w:rsidRDefault="00DE2102" w:rsidP="00710543">
      <w:pPr>
        <w:spacing w:line="480" w:lineRule="auto"/>
        <w:ind w:left="720"/>
        <w:rPr>
          <w:rFonts w:ascii="Times New Roman" w:hAnsi="Times New Roman" w:cs="Times New Roman"/>
          <w:sz w:val="24"/>
          <w:szCs w:val="24"/>
        </w:rPr>
      </w:pPr>
    </w:p>
    <w:p w:rsidR="00DE2102" w:rsidRPr="00710543" w:rsidRDefault="00DE2102" w:rsidP="00710543">
      <w:pPr>
        <w:spacing w:line="480" w:lineRule="auto"/>
        <w:ind w:left="720"/>
        <w:jc w:val="both"/>
        <w:rPr>
          <w:rFonts w:ascii="Times New Roman" w:hAnsi="Times New Roman" w:cs="Times New Roman"/>
          <w:b/>
          <w:sz w:val="24"/>
          <w:szCs w:val="24"/>
        </w:rPr>
      </w:pPr>
      <w:r w:rsidRPr="00710543">
        <w:rPr>
          <w:rFonts w:ascii="Times New Roman" w:hAnsi="Times New Roman" w:cs="Times New Roman"/>
          <w:sz w:val="24"/>
          <w:szCs w:val="24"/>
        </w:rPr>
        <w:lastRenderedPageBreak/>
        <w:tab/>
      </w:r>
      <w:r w:rsidRPr="00710543">
        <w:rPr>
          <w:rFonts w:ascii="Times New Roman" w:hAnsi="Times New Roman" w:cs="Times New Roman"/>
          <w:sz w:val="24"/>
          <w:szCs w:val="24"/>
        </w:rPr>
        <w:tab/>
      </w:r>
      <w:r w:rsidRPr="00710543">
        <w:rPr>
          <w:rFonts w:ascii="Times New Roman" w:hAnsi="Times New Roman" w:cs="Times New Roman"/>
          <w:b/>
          <w:sz w:val="24"/>
          <w:szCs w:val="24"/>
        </w:rPr>
        <w:t xml:space="preserve">                                 </w:t>
      </w:r>
      <w:r w:rsidR="005E6B19" w:rsidRPr="00710543">
        <w:rPr>
          <w:rFonts w:ascii="Times New Roman" w:hAnsi="Times New Roman" w:cs="Times New Roman"/>
          <w:b/>
          <w:sz w:val="24"/>
          <w:szCs w:val="24"/>
        </w:rPr>
        <w:t>ANALYSIS</w:t>
      </w:r>
    </w:p>
    <w:p w:rsidR="00DE2102" w:rsidRPr="00710543" w:rsidRDefault="00DE2102" w:rsidP="00710543">
      <w:pPr>
        <w:spacing w:line="480" w:lineRule="auto"/>
        <w:ind w:left="720"/>
        <w:rPr>
          <w:rFonts w:ascii="Times New Roman" w:hAnsi="Times New Roman" w:cs="Times New Roman"/>
          <w:sz w:val="24"/>
          <w:szCs w:val="24"/>
        </w:rPr>
      </w:pPr>
      <w:r w:rsidRPr="00710543">
        <w:rPr>
          <w:rFonts w:ascii="Times New Roman" w:hAnsi="Times New Roman" w:cs="Times New Roman"/>
          <w:sz w:val="24"/>
          <w:szCs w:val="24"/>
        </w:rPr>
        <w:tab/>
      </w:r>
      <w:r w:rsidR="007508F1" w:rsidRPr="00710543">
        <w:rPr>
          <w:rFonts w:ascii="Times New Roman" w:hAnsi="Times New Roman" w:cs="Times New Roman"/>
          <w:sz w:val="24"/>
          <w:szCs w:val="24"/>
        </w:rPr>
        <w:t>Data presented by socio-economic groupings of areas and remoteness.</w:t>
      </w:r>
    </w:p>
    <w:p w:rsidR="007508F1" w:rsidRPr="00710543" w:rsidRDefault="00A67CC5" w:rsidP="00710543">
      <w:pPr>
        <w:pStyle w:val="ListParagraph"/>
        <w:numPr>
          <w:ilvl w:val="0"/>
          <w:numId w:val="4"/>
        </w:numPr>
        <w:spacing w:line="480" w:lineRule="auto"/>
        <w:rPr>
          <w:rFonts w:ascii="Times New Roman" w:hAnsi="Times New Roman" w:cs="Times New Roman"/>
          <w:sz w:val="24"/>
          <w:szCs w:val="24"/>
        </w:rPr>
      </w:pPr>
      <w:r w:rsidRPr="00710543">
        <w:rPr>
          <w:rFonts w:ascii="Times New Roman" w:hAnsi="Times New Roman" w:cs="Times New Roman"/>
          <w:sz w:val="24"/>
          <w:szCs w:val="24"/>
        </w:rPr>
        <w:t>Based</w:t>
      </w:r>
      <w:r w:rsidR="007508F1" w:rsidRPr="00710543">
        <w:rPr>
          <w:rFonts w:ascii="Times New Roman" w:hAnsi="Times New Roman" w:cs="Times New Roman"/>
          <w:sz w:val="24"/>
          <w:szCs w:val="24"/>
        </w:rPr>
        <w:t xml:space="preserve"> on ABS index of Relative socio-economics Disadvantage (IRSD), a summary measure of socio-economic factors the 2006 ABS census. Each SLA country in </w:t>
      </w:r>
      <w:r w:rsidRPr="00710543">
        <w:rPr>
          <w:rFonts w:ascii="Times New Roman" w:hAnsi="Times New Roman" w:cs="Times New Roman"/>
          <w:sz w:val="24"/>
          <w:szCs w:val="24"/>
        </w:rPr>
        <w:t>South</w:t>
      </w:r>
      <w:r w:rsidR="007508F1" w:rsidRPr="00710543">
        <w:rPr>
          <w:rFonts w:ascii="Times New Roman" w:hAnsi="Times New Roman" w:cs="Times New Roman"/>
          <w:sz w:val="24"/>
          <w:szCs w:val="24"/>
        </w:rPr>
        <w:t xml:space="preserve"> Australia was assigned an IRSD score.</w:t>
      </w:r>
    </w:p>
    <w:p w:rsidR="007508F1" w:rsidRPr="00710543" w:rsidRDefault="007508F1" w:rsidP="00710543">
      <w:pPr>
        <w:spacing w:line="480" w:lineRule="auto"/>
        <w:ind w:left="720"/>
        <w:rPr>
          <w:rFonts w:ascii="Times New Roman" w:hAnsi="Times New Roman" w:cs="Times New Roman"/>
          <w:sz w:val="24"/>
          <w:szCs w:val="24"/>
        </w:rPr>
      </w:pPr>
      <w:r w:rsidRPr="00710543">
        <w:rPr>
          <w:rFonts w:ascii="Times New Roman" w:hAnsi="Times New Roman" w:cs="Times New Roman"/>
          <w:sz w:val="24"/>
          <w:szCs w:val="24"/>
        </w:rPr>
        <w:t xml:space="preserve">The SLAS were then ranked by that score and </w:t>
      </w:r>
      <w:r w:rsidR="00A67CC5" w:rsidRPr="00710543">
        <w:rPr>
          <w:rFonts w:ascii="Times New Roman" w:hAnsi="Times New Roman" w:cs="Times New Roman"/>
          <w:sz w:val="24"/>
          <w:szCs w:val="24"/>
        </w:rPr>
        <w:t>divided</w:t>
      </w:r>
      <w:r w:rsidRPr="00710543">
        <w:rPr>
          <w:rFonts w:ascii="Times New Roman" w:hAnsi="Times New Roman" w:cs="Times New Roman"/>
          <w:sz w:val="24"/>
          <w:szCs w:val="24"/>
        </w:rPr>
        <w:t xml:space="preserve"> into five groups of </w:t>
      </w:r>
      <w:r w:rsidR="00A67CC5" w:rsidRPr="00710543">
        <w:rPr>
          <w:rFonts w:ascii="Times New Roman" w:hAnsi="Times New Roman" w:cs="Times New Roman"/>
          <w:sz w:val="24"/>
          <w:szCs w:val="24"/>
        </w:rPr>
        <w:t>approximately equal</w:t>
      </w:r>
      <w:r w:rsidRPr="00710543">
        <w:rPr>
          <w:rFonts w:ascii="Times New Roman" w:hAnsi="Times New Roman" w:cs="Times New Roman"/>
          <w:sz w:val="24"/>
          <w:szCs w:val="24"/>
        </w:rPr>
        <w:t xml:space="preserve"> (20%) populations.</w:t>
      </w:r>
    </w:p>
    <w:p w:rsidR="007508F1" w:rsidRPr="00710543" w:rsidRDefault="007508F1"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ab/>
        <w:t xml:space="preserve">Rates and </w:t>
      </w:r>
      <w:r w:rsidR="00A67CC5" w:rsidRPr="00710543">
        <w:rPr>
          <w:rFonts w:ascii="Times New Roman" w:hAnsi="Times New Roman" w:cs="Times New Roman"/>
          <w:sz w:val="24"/>
          <w:szCs w:val="24"/>
        </w:rPr>
        <w:t>SRS</w:t>
      </w:r>
      <w:r w:rsidRPr="00710543">
        <w:rPr>
          <w:rFonts w:ascii="Times New Roman" w:hAnsi="Times New Roman" w:cs="Times New Roman"/>
          <w:sz w:val="24"/>
          <w:szCs w:val="24"/>
        </w:rPr>
        <w:t xml:space="preserve"> are calculated for admissions for each of the five groups. The </w:t>
      </w:r>
      <w:r w:rsidR="00A67CC5" w:rsidRPr="00710543">
        <w:rPr>
          <w:rFonts w:ascii="Times New Roman" w:hAnsi="Times New Roman" w:cs="Times New Roman"/>
          <w:sz w:val="24"/>
          <w:szCs w:val="24"/>
        </w:rPr>
        <w:t>quintiles</w:t>
      </w:r>
      <w:r w:rsidRPr="00710543">
        <w:rPr>
          <w:rFonts w:ascii="Times New Roman" w:hAnsi="Times New Roman" w:cs="Times New Roman"/>
          <w:sz w:val="24"/>
          <w:szCs w:val="24"/>
        </w:rPr>
        <w:t xml:space="preserve"> are based on the total population (as the standard for comparison) not by indigenous status or age group. The quintiles are based on country SLA’S not on SLAS across the whole state and reflects relative levels of disadvantage of the whole population, not solely children and not solely </w:t>
      </w:r>
      <w:r w:rsidR="00A67CC5" w:rsidRPr="00710543">
        <w:rPr>
          <w:rFonts w:ascii="Times New Roman" w:hAnsi="Times New Roman" w:cs="Times New Roman"/>
          <w:sz w:val="24"/>
          <w:szCs w:val="24"/>
        </w:rPr>
        <w:t>Aboriginal</w:t>
      </w:r>
      <w:r w:rsidRPr="00710543">
        <w:rPr>
          <w:rFonts w:ascii="Times New Roman" w:hAnsi="Times New Roman" w:cs="Times New Roman"/>
          <w:sz w:val="24"/>
          <w:szCs w:val="24"/>
        </w:rPr>
        <w:t xml:space="preserve"> people.</w:t>
      </w:r>
    </w:p>
    <w:p w:rsidR="007508F1" w:rsidRPr="00710543" w:rsidRDefault="00A67CC5" w:rsidP="00710543">
      <w:pPr>
        <w:pStyle w:val="ListParagraph"/>
        <w:numPr>
          <w:ilvl w:val="0"/>
          <w:numId w:val="4"/>
        </w:numPr>
        <w:spacing w:line="480" w:lineRule="auto"/>
        <w:rPr>
          <w:rFonts w:ascii="Times New Roman" w:hAnsi="Times New Roman" w:cs="Times New Roman"/>
          <w:sz w:val="24"/>
          <w:szCs w:val="24"/>
        </w:rPr>
      </w:pPr>
      <w:r w:rsidRPr="00710543">
        <w:rPr>
          <w:rFonts w:ascii="Times New Roman" w:hAnsi="Times New Roman" w:cs="Times New Roman"/>
          <w:sz w:val="24"/>
          <w:szCs w:val="24"/>
        </w:rPr>
        <w:t>By remoteness, based on ABS remoteness classification.</w:t>
      </w:r>
    </w:p>
    <w:p w:rsidR="00A67CC5" w:rsidRPr="00710543" w:rsidRDefault="00A67CC5" w:rsidP="00710543">
      <w:pPr>
        <w:spacing w:line="480" w:lineRule="auto"/>
        <w:rPr>
          <w:rFonts w:ascii="Times New Roman" w:hAnsi="Times New Roman" w:cs="Times New Roman"/>
          <w:sz w:val="24"/>
          <w:szCs w:val="24"/>
        </w:rPr>
      </w:pPr>
    </w:p>
    <w:p w:rsidR="00F02C9C" w:rsidRPr="00710543" w:rsidRDefault="00F02C9C" w:rsidP="00710543">
      <w:pPr>
        <w:spacing w:after="173" w:line="480" w:lineRule="auto"/>
        <w:rPr>
          <w:rFonts w:ascii="Times New Roman" w:eastAsia="Times New Roman" w:hAnsi="Times New Roman" w:cs="Times New Roman"/>
          <w:color w:val="333333"/>
          <w:sz w:val="24"/>
          <w:szCs w:val="24"/>
        </w:rPr>
      </w:pPr>
      <w:r w:rsidRPr="00710543">
        <w:rPr>
          <w:rFonts w:ascii="Times New Roman" w:eastAsia="Times New Roman" w:hAnsi="Times New Roman" w:cs="Times New Roman"/>
          <w:noProof/>
          <w:color w:val="333333"/>
          <w:sz w:val="24"/>
          <w:szCs w:val="24"/>
        </w:rPr>
        <w:lastRenderedPageBreak/>
        <w:drawing>
          <wp:inline distT="0" distB="0" distL="0" distR="0">
            <wp:extent cx="8093075" cy="4477385"/>
            <wp:effectExtent l="0" t="0" r="3175" b="0"/>
            <wp:docPr id="2" name="Picture 2" descr="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t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3075" cy="4477385"/>
                    </a:xfrm>
                    <a:prstGeom prst="rect">
                      <a:avLst/>
                    </a:prstGeom>
                    <a:noFill/>
                    <a:ln>
                      <a:noFill/>
                    </a:ln>
                  </pic:spPr>
                </pic:pic>
              </a:graphicData>
            </a:graphic>
          </wp:inline>
        </w:drawing>
      </w:r>
    </w:p>
    <w:p w:rsidR="008E1532" w:rsidRPr="00710543" w:rsidRDefault="008E1532"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noProof/>
          <w:sz w:val="24"/>
          <w:szCs w:val="24"/>
        </w:rPr>
        <w:drawing>
          <wp:inline distT="0" distB="0" distL="0" distR="0">
            <wp:extent cx="5943600" cy="2882240"/>
            <wp:effectExtent l="0" t="0" r="0" b="0"/>
            <wp:docPr id="4" name="Picture 4" descr="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art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882240"/>
                    </a:xfrm>
                    <a:prstGeom prst="rect">
                      <a:avLst/>
                    </a:prstGeom>
                    <a:noFill/>
                    <a:ln>
                      <a:noFill/>
                    </a:ln>
                  </pic:spPr>
                </pic:pic>
              </a:graphicData>
            </a:graphic>
          </wp:inline>
        </w:drawing>
      </w: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noProof/>
          <w:sz w:val="24"/>
          <w:szCs w:val="24"/>
        </w:rPr>
        <w:drawing>
          <wp:inline distT="0" distB="0" distL="0" distR="0">
            <wp:extent cx="8091170" cy="3923665"/>
            <wp:effectExtent l="0" t="0" r="5080" b="635"/>
            <wp:docPr id="5" name="Picture 5" descr="Ch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hart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1170" cy="3923665"/>
                    </a:xfrm>
                    <a:prstGeom prst="rect">
                      <a:avLst/>
                    </a:prstGeom>
                    <a:noFill/>
                    <a:ln>
                      <a:noFill/>
                    </a:ln>
                  </pic:spPr>
                </pic:pic>
              </a:graphicData>
            </a:graphic>
          </wp:inline>
        </w:drawing>
      </w: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noProof/>
          <w:sz w:val="24"/>
          <w:szCs w:val="24"/>
        </w:rPr>
        <w:drawing>
          <wp:inline distT="0" distB="0" distL="0" distR="0">
            <wp:extent cx="8101965" cy="4476115"/>
            <wp:effectExtent l="0" t="0" r="0" b="635"/>
            <wp:docPr id="6" name="Picture 6" descr="Ch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art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01965" cy="4476115"/>
                    </a:xfrm>
                    <a:prstGeom prst="rect">
                      <a:avLst/>
                    </a:prstGeom>
                    <a:noFill/>
                    <a:ln>
                      <a:noFill/>
                    </a:ln>
                  </pic:spPr>
                </pic:pic>
              </a:graphicData>
            </a:graphic>
          </wp:inline>
        </w:drawing>
      </w: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F02C9C" w:rsidRPr="00710543" w:rsidRDefault="00F02C9C" w:rsidP="00710543">
      <w:pPr>
        <w:pStyle w:val="ListParagraph"/>
        <w:spacing w:line="480" w:lineRule="auto"/>
        <w:rPr>
          <w:rFonts w:ascii="Times New Roman" w:hAnsi="Times New Roman" w:cs="Times New Roman"/>
          <w:sz w:val="24"/>
          <w:szCs w:val="24"/>
        </w:rPr>
      </w:pPr>
    </w:p>
    <w:p w:rsidR="009A7474" w:rsidRDefault="00F02C9C" w:rsidP="009A7474">
      <w:pPr>
        <w:pStyle w:val="ListParagraph"/>
        <w:spacing w:line="480" w:lineRule="auto"/>
        <w:rPr>
          <w:rFonts w:ascii="Times New Roman" w:hAnsi="Times New Roman" w:cs="Times New Roman"/>
          <w:b/>
          <w:sz w:val="24"/>
          <w:szCs w:val="24"/>
        </w:rPr>
      </w:pPr>
      <w:r w:rsidRPr="00710543">
        <w:rPr>
          <w:rFonts w:ascii="Times New Roman" w:hAnsi="Times New Roman" w:cs="Times New Roman"/>
          <w:noProof/>
          <w:sz w:val="24"/>
          <w:szCs w:val="24"/>
        </w:rPr>
        <w:drawing>
          <wp:inline distT="0" distB="0" distL="0" distR="0">
            <wp:extent cx="8091170" cy="4508500"/>
            <wp:effectExtent l="0" t="0" r="5080" b="6350"/>
            <wp:docPr id="7" name="Picture 7" descr="Char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art 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1170" cy="4508500"/>
                    </a:xfrm>
                    <a:prstGeom prst="rect">
                      <a:avLst/>
                    </a:prstGeom>
                    <a:noFill/>
                    <a:ln>
                      <a:noFill/>
                    </a:ln>
                  </pic:spPr>
                </pic:pic>
              </a:graphicData>
            </a:graphic>
          </wp:inline>
        </w:drawing>
      </w:r>
    </w:p>
    <w:p w:rsidR="00FA197A" w:rsidRPr="009A7474" w:rsidRDefault="009A7474" w:rsidP="009A7474">
      <w:pPr>
        <w:pStyle w:val="ListParagraph"/>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E6B19" w:rsidRPr="00710543">
        <w:rPr>
          <w:rFonts w:ascii="Times New Roman" w:hAnsi="Times New Roman" w:cs="Times New Roman"/>
          <w:b/>
          <w:sz w:val="24"/>
          <w:szCs w:val="24"/>
        </w:rPr>
        <w:t>CONCLUSION</w:t>
      </w:r>
    </w:p>
    <w:p w:rsidR="00F978BB" w:rsidRPr="00710543" w:rsidRDefault="00F978BB" w:rsidP="00710543">
      <w:pPr>
        <w:pStyle w:val="ListParagraph"/>
        <w:spacing w:line="480" w:lineRule="auto"/>
        <w:jc w:val="center"/>
        <w:rPr>
          <w:rFonts w:ascii="Times New Roman" w:hAnsi="Times New Roman" w:cs="Times New Roman"/>
          <w:sz w:val="24"/>
          <w:szCs w:val="24"/>
        </w:rPr>
      </w:pPr>
    </w:p>
    <w:p w:rsidR="009A7474" w:rsidRDefault="00FA197A"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sz w:val="24"/>
          <w:szCs w:val="24"/>
        </w:rPr>
        <w:tab/>
      </w:r>
    </w:p>
    <w:p w:rsidR="009A7474" w:rsidRDefault="00FA197A"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sz w:val="24"/>
          <w:szCs w:val="24"/>
        </w:rPr>
        <w:t xml:space="preserve">The aim of the report was to prove the hypothesis which states that, if an Aboriginal identity was linked to that number or youth admission to correctional servicethen yearly there </w:t>
      </w:r>
      <w:r w:rsidR="00E55E55" w:rsidRPr="00710543">
        <w:rPr>
          <w:rFonts w:ascii="Times New Roman" w:hAnsi="Times New Roman" w:cs="Times New Roman"/>
          <w:sz w:val="24"/>
          <w:szCs w:val="24"/>
        </w:rPr>
        <w:t>is</w:t>
      </w:r>
      <w:r w:rsidRPr="00710543">
        <w:rPr>
          <w:rFonts w:ascii="Times New Roman" w:hAnsi="Times New Roman" w:cs="Times New Roman"/>
          <w:sz w:val="24"/>
          <w:szCs w:val="24"/>
        </w:rPr>
        <w:t xml:space="preserve"> more Aboriginal admission from the data collected. I came up </w:t>
      </w:r>
    </w:p>
    <w:p w:rsidR="00FA197A" w:rsidRPr="00710543" w:rsidRDefault="00FA197A" w:rsidP="00710543">
      <w:pPr>
        <w:pStyle w:val="ListParagraph"/>
        <w:spacing w:line="480" w:lineRule="auto"/>
        <w:rPr>
          <w:rFonts w:ascii="Times New Roman" w:hAnsi="Times New Roman" w:cs="Times New Roman"/>
          <w:sz w:val="24"/>
          <w:szCs w:val="24"/>
        </w:rPr>
      </w:pPr>
      <w:r w:rsidRPr="00710543">
        <w:rPr>
          <w:rFonts w:ascii="Times New Roman" w:hAnsi="Times New Roman" w:cs="Times New Roman"/>
          <w:sz w:val="24"/>
          <w:szCs w:val="24"/>
        </w:rPr>
        <w:t>with the following findings;</w:t>
      </w:r>
    </w:p>
    <w:p w:rsidR="00FA197A" w:rsidRPr="00710543" w:rsidRDefault="00FA197A" w:rsidP="00710543">
      <w:pPr>
        <w:pStyle w:val="ListParagraph"/>
        <w:spacing w:line="480" w:lineRule="auto"/>
        <w:rPr>
          <w:rFonts w:ascii="Times New Roman" w:hAnsi="Times New Roman" w:cs="Times New Roman"/>
          <w:sz w:val="24"/>
          <w:szCs w:val="24"/>
        </w:rPr>
      </w:pPr>
    </w:p>
    <w:p w:rsidR="00FA197A" w:rsidRPr="00710543" w:rsidRDefault="00FA197A"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Adult incarceration rate continues to decline.</w:t>
      </w:r>
    </w:p>
    <w:p w:rsidR="00FA197A" w:rsidRPr="00710543" w:rsidRDefault="00FA197A"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Adult in remand outnumber those in provincial/temporal sentenced custody.</w:t>
      </w:r>
    </w:p>
    <w:p w:rsidR="00FA197A" w:rsidRPr="00710543" w:rsidRDefault="00F978BB"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Most adults are under community supervision.</w:t>
      </w:r>
    </w:p>
    <w:p w:rsidR="00F978BB" w:rsidRPr="00710543" w:rsidRDefault="00E55E55"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Admission to adult correctional services decreases</w:t>
      </w:r>
      <w:r w:rsidR="00F978BB" w:rsidRPr="00710543">
        <w:rPr>
          <w:rFonts w:ascii="Times New Roman" w:hAnsi="Times New Roman" w:cs="Times New Roman"/>
          <w:sz w:val="24"/>
          <w:szCs w:val="24"/>
        </w:rPr>
        <w:t xml:space="preserve"> slightly.</w:t>
      </w:r>
    </w:p>
    <w:p w:rsidR="00F978BB" w:rsidRPr="00710543" w:rsidRDefault="00F978BB"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Adults who identify or an Aboriginal person are over represented in custody.</w:t>
      </w:r>
    </w:p>
    <w:p w:rsidR="00F978BB" w:rsidRPr="00710543" w:rsidRDefault="00F978BB" w:rsidP="00710543">
      <w:pPr>
        <w:pStyle w:val="ListParagraph"/>
        <w:numPr>
          <w:ilvl w:val="0"/>
          <w:numId w:val="5"/>
        </w:numPr>
        <w:spacing w:line="480" w:lineRule="auto"/>
        <w:rPr>
          <w:rFonts w:ascii="Times New Roman" w:hAnsi="Times New Roman" w:cs="Times New Roman"/>
          <w:sz w:val="24"/>
          <w:szCs w:val="24"/>
        </w:rPr>
      </w:pPr>
      <w:r w:rsidRPr="00710543">
        <w:rPr>
          <w:rFonts w:ascii="Times New Roman" w:hAnsi="Times New Roman" w:cs="Times New Roman"/>
          <w:sz w:val="24"/>
          <w:szCs w:val="24"/>
        </w:rPr>
        <w:t xml:space="preserve">Younger male adults are </w:t>
      </w:r>
      <w:r w:rsidR="005E6B19" w:rsidRPr="00710543">
        <w:rPr>
          <w:rFonts w:ascii="Times New Roman" w:hAnsi="Times New Roman" w:cs="Times New Roman"/>
          <w:sz w:val="24"/>
          <w:szCs w:val="24"/>
        </w:rPr>
        <w:t>over represented in custody adm</w:t>
      </w:r>
      <w:r w:rsidRPr="00710543">
        <w:rPr>
          <w:rFonts w:ascii="Times New Roman" w:hAnsi="Times New Roman" w:cs="Times New Roman"/>
          <w:sz w:val="24"/>
          <w:szCs w:val="24"/>
        </w:rPr>
        <w:t>ssions.</w:t>
      </w:r>
    </w:p>
    <w:p w:rsidR="00F978BB" w:rsidRPr="00710543" w:rsidRDefault="00F978BB" w:rsidP="00710543">
      <w:pPr>
        <w:spacing w:line="480" w:lineRule="auto"/>
        <w:rPr>
          <w:rFonts w:ascii="Times New Roman" w:hAnsi="Times New Roman" w:cs="Times New Roman"/>
          <w:sz w:val="24"/>
          <w:szCs w:val="24"/>
        </w:rPr>
      </w:pPr>
      <w:r w:rsidRPr="00710543">
        <w:rPr>
          <w:rFonts w:ascii="Times New Roman" w:hAnsi="Times New Roman" w:cs="Times New Roman"/>
          <w:sz w:val="24"/>
          <w:szCs w:val="24"/>
        </w:rPr>
        <w:t>Due to these findings, it is concluded that there is no increase in Aboriginals admission if Aboriginal identity was linked to the number of youth admission to correctional services.</w:t>
      </w:r>
    </w:p>
    <w:p w:rsidR="009A7474" w:rsidRDefault="009A7474" w:rsidP="00710543">
      <w:pPr>
        <w:spacing w:line="480" w:lineRule="auto"/>
        <w:ind w:left="720"/>
        <w:jc w:val="center"/>
        <w:rPr>
          <w:rFonts w:ascii="Times New Roman" w:hAnsi="Times New Roman" w:cs="Times New Roman"/>
          <w:sz w:val="24"/>
          <w:szCs w:val="24"/>
        </w:rPr>
      </w:pPr>
    </w:p>
    <w:p w:rsidR="009A7474" w:rsidRDefault="009A7474" w:rsidP="00710543">
      <w:pPr>
        <w:spacing w:line="480" w:lineRule="auto"/>
        <w:ind w:left="720"/>
        <w:jc w:val="center"/>
        <w:rPr>
          <w:rFonts w:ascii="Times New Roman" w:hAnsi="Times New Roman" w:cs="Times New Roman"/>
          <w:sz w:val="24"/>
          <w:szCs w:val="24"/>
        </w:rPr>
      </w:pPr>
    </w:p>
    <w:p w:rsidR="00E55E55" w:rsidRPr="00710543" w:rsidRDefault="005E6B19" w:rsidP="00710543">
      <w:pPr>
        <w:spacing w:line="480" w:lineRule="auto"/>
        <w:ind w:left="720"/>
        <w:jc w:val="center"/>
        <w:rPr>
          <w:rFonts w:ascii="Times New Roman" w:hAnsi="Times New Roman" w:cs="Times New Roman"/>
          <w:b/>
          <w:sz w:val="24"/>
          <w:szCs w:val="24"/>
        </w:rPr>
      </w:pPr>
      <w:r w:rsidRPr="00710543">
        <w:rPr>
          <w:rFonts w:ascii="Times New Roman" w:hAnsi="Times New Roman" w:cs="Times New Roman"/>
          <w:b/>
          <w:sz w:val="24"/>
          <w:szCs w:val="24"/>
        </w:rPr>
        <w:t>REFERENCES</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Chartrand, L., and K. Horn. 2016. </w:t>
      </w:r>
      <w:r w:rsidRPr="00710543">
        <w:rPr>
          <w:rStyle w:val="Emphasis"/>
          <w:rFonts w:ascii="Arial" w:hAnsi="Arial" w:cs="Arial"/>
          <w:color w:val="333333"/>
        </w:rPr>
        <w:t>A Report on the Relationship between Restorative Justice and Indigenous Legal Traditions in Canada</w:t>
      </w:r>
      <w:r w:rsidRPr="00710543">
        <w:rPr>
          <w:rFonts w:ascii="Arial" w:hAnsi="Arial" w:cs="Arial"/>
          <w:color w:val="333333"/>
        </w:rPr>
        <w:t xml:space="preserve">. Department of Justice Canada. (accessed January 15, 2019). </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Correctional Services Program. 2017. “Trends in the use of remand in Canada, 2004/2005 to 2014/2015.” </w:t>
      </w:r>
      <w:r w:rsidRPr="00710543">
        <w:rPr>
          <w:rStyle w:val="Emphasis"/>
          <w:rFonts w:ascii="Arial" w:hAnsi="Arial" w:cs="Arial"/>
          <w:color w:val="333333"/>
        </w:rPr>
        <w:t>Juristat</w:t>
      </w:r>
      <w:r w:rsidRPr="00710543">
        <w:rPr>
          <w:rFonts w:ascii="Arial" w:hAnsi="Arial" w:cs="Arial"/>
          <w:color w:val="333333"/>
        </w:rPr>
        <w:t>.Statistics Canada Catalogue no. 85-002-X.</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Style w:val="Emphasis"/>
          <w:rFonts w:ascii="Arial" w:hAnsi="Arial" w:cs="Arial"/>
          <w:color w:val="333333"/>
        </w:rPr>
        <w:t>Criminal Code</w:t>
      </w:r>
      <w:r w:rsidRPr="00710543">
        <w:rPr>
          <w:rFonts w:ascii="Arial" w:hAnsi="Arial" w:cs="Arial"/>
          <w:color w:val="333333"/>
        </w:rPr>
        <w:t xml:space="preserve"> of Canada.RSC, 1985, c. C-46. (Current to December 12, 2018).</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John Howard Society of Canada. 2018. “Financial facts on Canadian prisons.” </w:t>
      </w:r>
      <w:r w:rsidRPr="00710543">
        <w:rPr>
          <w:rStyle w:val="Emphasis"/>
          <w:rFonts w:ascii="Arial" w:hAnsi="Arial" w:cs="Arial"/>
          <w:color w:val="333333"/>
        </w:rPr>
        <w:t>John Howard Society of Canada Blog</w:t>
      </w:r>
      <w:r w:rsidRPr="00710543">
        <w:rPr>
          <w:rFonts w:ascii="Arial" w:hAnsi="Arial" w:cs="Arial"/>
          <w:color w:val="333333"/>
        </w:rPr>
        <w:t>. (accessed January 15, 2019).</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John Howard Society of Ontario. 2007. “Remand in Ontario. Second report to the Board, Standing Committee on prison conditions in Ontario.” </w:t>
      </w:r>
      <w:r w:rsidRPr="00710543">
        <w:rPr>
          <w:rStyle w:val="Emphasis"/>
          <w:rFonts w:ascii="Arial" w:hAnsi="Arial" w:cs="Arial"/>
          <w:color w:val="333333"/>
        </w:rPr>
        <w:t>John Howard Society of Ontario</w:t>
      </w:r>
      <w:r w:rsidRPr="00710543">
        <w:rPr>
          <w:rFonts w:ascii="Arial" w:hAnsi="Arial" w:cs="Arial"/>
          <w:color w:val="333333"/>
        </w:rPr>
        <w:t>. (accessed January 15, 2019).</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Legal Services Society. 2018. </w:t>
      </w:r>
      <w:r w:rsidRPr="00710543">
        <w:rPr>
          <w:rStyle w:val="Emphasis"/>
          <w:rFonts w:ascii="Arial" w:hAnsi="Arial" w:cs="Arial"/>
          <w:color w:val="333333"/>
        </w:rPr>
        <w:t>Gladue Report Guide</w:t>
      </w:r>
      <w:r w:rsidRPr="00710543">
        <w:rPr>
          <w:rFonts w:ascii="Arial" w:hAnsi="Arial" w:cs="Arial"/>
          <w:color w:val="333333"/>
        </w:rPr>
        <w:t>. Legal Services Society of British Columbia.</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lastRenderedPageBreak/>
        <w:t xml:space="preserve">Public Services Foundation of Canada. 2015. “Crisis in Correctional Services: Overcrowding and inmates with mental health problems in provincial correctional facilities.” </w:t>
      </w:r>
      <w:r w:rsidRPr="00710543">
        <w:rPr>
          <w:rStyle w:val="Emphasis"/>
          <w:rFonts w:ascii="Arial" w:hAnsi="Arial" w:cs="Arial"/>
          <w:color w:val="333333"/>
        </w:rPr>
        <w:t>Public Services Foundation of Canada</w:t>
      </w:r>
      <w:r w:rsidRPr="00710543">
        <w:rPr>
          <w:rFonts w:ascii="Arial" w:hAnsi="Arial" w:cs="Arial"/>
          <w:color w:val="333333"/>
        </w:rPr>
        <w:t>. (accessed January 15, 2019).</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 xml:space="preserve">R </w:t>
      </w:r>
      <w:r w:rsidRPr="00710543">
        <w:rPr>
          <w:rStyle w:val="Emphasis"/>
          <w:rFonts w:ascii="Arial" w:hAnsi="Arial" w:cs="Arial"/>
          <w:color w:val="333333"/>
        </w:rPr>
        <w:t>v. Gladue</w:t>
      </w:r>
      <w:r w:rsidRPr="00710543">
        <w:rPr>
          <w:rFonts w:ascii="Arial" w:hAnsi="Arial" w:cs="Arial"/>
          <w:color w:val="333333"/>
        </w:rPr>
        <w:t>. 1999. SCC 26300, [1999] 1 S.C.R. 688.</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Rudin, J. 2005. “Aboriginal Peoples and the Criminal Justice System.”</w:t>
      </w:r>
      <w:r w:rsidRPr="00710543">
        <w:rPr>
          <w:rStyle w:val="Emphasis"/>
          <w:rFonts w:ascii="Arial" w:hAnsi="Arial" w:cs="Arial"/>
          <w:color w:val="333333"/>
        </w:rPr>
        <w:t>Ipperwash Inquiry</w:t>
      </w:r>
      <w:r w:rsidRPr="00710543">
        <w:rPr>
          <w:rFonts w:ascii="Arial" w:hAnsi="Arial" w:cs="Arial"/>
          <w:color w:val="333333"/>
        </w:rPr>
        <w:t>. (accessed January 15, 2019).</w:t>
      </w:r>
    </w:p>
    <w:p w:rsidR="0030089E" w:rsidRPr="00710543" w:rsidRDefault="0030089E" w:rsidP="009A7474">
      <w:pPr>
        <w:pStyle w:val="NormalWeb"/>
        <w:spacing w:before="0" w:beforeAutospacing="0" w:after="173" w:afterAutospacing="0" w:line="480" w:lineRule="auto"/>
        <w:ind w:left="720" w:hanging="720"/>
        <w:rPr>
          <w:rFonts w:ascii="Arial" w:hAnsi="Arial" w:cs="Arial"/>
          <w:color w:val="333333"/>
        </w:rPr>
      </w:pPr>
      <w:r w:rsidRPr="00710543">
        <w:rPr>
          <w:rFonts w:ascii="Arial" w:hAnsi="Arial" w:cs="Arial"/>
          <w:color w:val="333333"/>
        </w:rPr>
        <w:t>Savage, L. 2019. “Female offenders in Canada, 2017.”</w:t>
      </w:r>
      <w:r w:rsidRPr="00710543">
        <w:rPr>
          <w:rStyle w:val="Emphasis"/>
          <w:rFonts w:ascii="Arial" w:hAnsi="Arial" w:cs="Arial"/>
          <w:color w:val="333333"/>
        </w:rPr>
        <w:t>Juristat</w:t>
      </w:r>
      <w:r w:rsidRPr="00710543">
        <w:rPr>
          <w:rFonts w:ascii="Arial" w:hAnsi="Arial" w:cs="Arial"/>
          <w:color w:val="333333"/>
        </w:rPr>
        <w:t>.Statistics Canada Catalogue no. 85-002-X.</w:t>
      </w:r>
    </w:p>
    <w:p w:rsidR="0030089E" w:rsidRPr="00710543" w:rsidRDefault="0030089E" w:rsidP="009A7474">
      <w:pPr>
        <w:pStyle w:val="NormalWeb"/>
        <w:spacing w:before="0" w:beforeAutospacing="0" w:after="173" w:afterAutospacing="0" w:line="480" w:lineRule="auto"/>
        <w:ind w:hanging="720"/>
        <w:rPr>
          <w:rFonts w:ascii="Arial" w:hAnsi="Arial" w:cs="Arial"/>
          <w:color w:val="333333"/>
        </w:rPr>
      </w:pPr>
      <w:r w:rsidRPr="00710543">
        <w:rPr>
          <w:rFonts w:ascii="Arial" w:hAnsi="Arial" w:cs="Arial"/>
          <w:color w:val="333333"/>
        </w:rPr>
        <w:t xml:space="preserve">Smith, P., C. Goggin and P. Gendreau. 2002. </w:t>
      </w:r>
      <w:r w:rsidRPr="00710543">
        <w:rPr>
          <w:rStyle w:val="Emphasis"/>
          <w:rFonts w:ascii="Arial" w:hAnsi="Arial" w:cs="Arial"/>
          <w:color w:val="333333"/>
        </w:rPr>
        <w:t>The Effects of Prison Sentences and Intermediate Sanctions on Recidivism: General Effects and Individual Differences</w:t>
      </w:r>
      <w:r w:rsidRPr="00710543">
        <w:rPr>
          <w:rFonts w:ascii="Arial" w:hAnsi="Arial" w:cs="Arial"/>
          <w:color w:val="333333"/>
        </w:rPr>
        <w:t>. Public Works and Government Services Canada. (accessed on January 15, 2019).</w:t>
      </w:r>
    </w:p>
    <w:p w:rsidR="0030089E" w:rsidRPr="00710543" w:rsidRDefault="0030089E" w:rsidP="009A7474">
      <w:pPr>
        <w:pStyle w:val="NormalWeb"/>
        <w:spacing w:before="0" w:beforeAutospacing="0" w:after="173" w:afterAutospacing="0" w:line="480" w:lineRule="auto"/>
        <w:ind w:hanging="720"/>
        <w:rPr>
          <w:rFonts w:ascii="Arial" w:hAnsi="Arial" w:cs="Arial"/>
          <w:color w:val="333333"/>
        </w:rPr>
      </w:pPr>
      <w:r w:rsidRPr="00710543">
        <w:rPr>
          <w:rFonts w:ascii="Arial" w:hAnsi="Arial" w:cs="Arial"/>
          <w:color w:val="333333"/>
        </w:rPr>
        <w:t>Webster, C. M. 2015. ‘</w:t>
      </w:r>
      <w:r w:rsidRPr="00710543">
        <w:rPr>
          <w:rStyle w:val="Emphasis"/>
          <w:rFonts w:ascii="Arial" w:hAnsi="Arial" w:cs="Arial"/>
          <w:color w:val="333333"/>
        </w:rPr>
        <w:t>Broken Bail’ in Canada: How We Might Go About Fixing It</w:t>
      </w:r>
      <w:r w:rsidRPr="00710543">
        <w:rPr>
          <w:rFonts w:ascii="Arial" w:hAnsi="Arial" w:cs="Arial"/>
          <w:color w:val="333333"/>
        </w:rPr>
        <w:t>. Research and Statistics Division. Department of Justice Canada.Accessed on January 15, 2019.</w:t>
      </w:r>
    </w:p>
    <w:p w:rsidR="0030089E" w:rsidRPr="00710543" w:rsidRDefault="0030089E" w:rsidP="009A7474">
      <w:pPr>
        <w:pStyle w:val="NormalWeb"/>
        <w:spacing w:before="0" w:beforeAutospacing="0" w:after="173" w:afterAutospacing="0" w:line="480" w:lineRule="auto"/>
        <w:ind w:hanging="720"/>
        <w:rPr>
          <w:rFonts w:ascii="Arial" w:hAnsi="Arial" w:cs="Arial"/>
          <w:color w:val="333333"/>
        </w:rPr>
      </w:pPr>
      <w:r w:rsidRPr="00710543">
        <w:rPr>
          <w:rStyle w:val="Emphasis"/>
          <w:rFonts w:ascii="Arial" w:hAnsi="Arial" w:cs="Arial"/>
          <w:color w:val="333333"/>
        </w:rPr>
        <w:t>Youth Criminal Justice Act</w:t>
      </w:r>
      <w:r w:rsidRPr="00710543">
        <w:rPr>
          <w:rFonts w:ascii="Arial" w:hAnsi="Arial" w:cs="Arial"/>
          <w:color w:val="333333"/>
        </w:rPr>
        <w:t>. 2003. Parliament of Canada. c .1, section 3(1).</w:t>
      </w:r>
    </w:p>
    <w:p w:rsidR="00813E7E" w:rsidRPr="00710543" w:rsidRDefault="00813E7E" w:rsidP="009A7474">
      <w:pPr>
        <w:spacing w:line="480" w:lineRule="auto"/>
        <w:ind w:left="720" w:hanging="720"/>
        <w:rPr>
          <w:rFonts w:ascii="Times New Roman" w:hAnsi="Times New Roman" w:cs="Times New Roman"/>
          <w:sz w:val="24"/>
          <w:szCs w:val="24"/>
        </w:rPr>
      </w:pPr>
      <w:bookmarkStart w:id="0" w:name="_GoBack"/>
      <w:bookmarkEnd w:id="0"/>
    </w:p>
    <w:sectPr w:rsidR="00813E7E" w:rsidRPr="00710543" w:rsidSect="00710543">
      <w:headerReference w:type="default" r:id="rId13"/>
      <w:head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83E" w:rsidRDefault="0059783E" w:rsidP="00BC382D">
      <w:pPr>
        <w:spacing w:after="0" w:line="240" w:lineRule="auto"/>
      </w:pPr>
      <w:r>
        <w:separator/>
      </w:r>
    </w:p>
  </w:endnote>
  <w:endnote w:type="continuationSeparator" w:id="1">
    <w:p w:rsidR="0059783E" w:rsidRDefault="0059783E" w:rsidP="00BC38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83E" w:rsidRDefault="0059783E" w:rsidP="00BC382D">
      <w:pPr>
        <w:spacing w:after="0" w:line="240" w:lineRule="auto"/>
      </w:pPr>
      <w:r>
        <w:separator/>
      </w:r>
    </w:p>
  </w:footnote>
  <w:footnote w:type="continuationSeparator" w:id="1">
    <w:p w:rsidR="0059783E" w:rsidRDefault="0059783E" w:rsidP="00BC38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31174"/>
      <w:docPartObj>
        <w:docPartGallery w:val="Page Numbers (Top of Page)"/>
        <w:docPartUnique/>
      </w:docPartObj>
    </w:sdtPr>
    <w:sdtContent>
      <w:p w:rsidR="00710543" w:rsidRDefault="00710543">
        <w:pPr>
          <w:pStyle w:val="Header"/>
          <w:jc w:val="right"/>
        </w:pPr>
        <w:fldSimple w:instr=" PAGE   \* MERGEFORMAT ">
          <w:r w:rsidR="009A7474">
            <w:rPr>
              <w:noProof/>
            </w:rPr>
            <w:t>8</w:t>
          </w:r>
        </w:fldSimple>
      </w:p>
    </w:sdtContent>
  </w:sdt>
  <w:p w:rsidR="00BC382D" w:rsidRDefault="00710543">
    <w:pPr>
      <w:pStyle w:val="Header"/>
    </w:pPr>
    <w:r>
      <w:t>Running head: ABORIGINAL IDENTITY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543" w:rsidRDefault="00710543">
    <w:pPr>
      <w:pStyle w:val="Header"/>
    </w:pPr>
    <w:r>
      <w:t>Running head: ABORIGINAL IDENTITY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4345"/>
    <w:multiLevelType w:val="hybridMultilevel"/>
    <w:tmpl w:val="DF7AFAC2"/>
    <w:lvl w:ilvl="0" w:tplc="58400E8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11C0AD1"/>
    <w:multiLevelType w:val="hybridMultilevel"/>
    <w:tmpl w:val="72AEEC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013B02"/>
    <w:multiLevelType w:val="hybridMultilevel"/>
    <w:tmpl w:val="8F34608C"/>
    <w:lvl w:ilvl="0" w:tplc="7ABAD2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A300CFD"/>
    <w:multiLevelType w:val="hybridMultilevel"/>
    <w:tmpl w:val="053AC5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B9302C5"/>
    <w:multiLevelType w:val="hybridMultilevel"/>
    <w:tmpl w:val="4BE86D9A"/>
    <w:lvl w:ilvl="0" w:tplc="99CEE9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663A2"/>
    <w:rsid w:val="0010712F"/>
    <w:rsid w:val="00254E30"/>
    <w:rsid w:val="0030089E"/>
    <w:rsid w:val="003C7792"/>
    <w:rsid w:val="003D226F"/>
    <w:rsid w:val="005235F3"/>
    <w:rsid w:val="005663A2"/>
    <w:rsid w:val="0059783E"/>
    <w:rsid w:val="005E6B19"/>
    <w:rsid w:val="006D74C0"/>
    <w:rsid w:val="00710543"/>
    <w:rsid w:val="00735080"/>
    <w:rsid w:val="007508F1"/>
    <w:rsid w:val="007B2300"/>
    <w:rsid w:val="00813E7E"/>
    <w:rsid w:val="008E1532"/>
    <w:rsid w:val="00965AC2"/>
    <w:rsid w:val="00981760"/>
    <w:rsid w:val="009A7474"/>
    <w:rsid w:val="00A67CC5"/>
    <w:rsid w:val="00B344D9"/>
    <w:rsid w:val="00BC382D"/>
    <w:rsid w:val="00C70E05"/>
    <w:rsid w:val="00DE2102"/>
    <w:rsid w:val="00E43E28"/>
    <w:rsid w:val="00E55E55"/>
    <w:rsid w:val="00F02C9C"/>
    <w:rsid w:val="00F978BB"/>
    <w:rsid w:val="00FA19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4D9"/>
  </w:style>
  <w:style w:type="paragraph" w:styleId="Heading1">
    <w:name w:val="heading 1"/>
    <w:basedOn w:val="Normal"/>
    <w:next w:val="Normal"/>
    <w:link w:val="Heading1Char"/>
    <w:uiPriority w:val="9"/>
    <w:qFormat/>
    <w:rsid w:val="003008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02C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008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82D"/>
  </w:style>
  <w:style w:type="paragraph" w:styleId="Footer">
    <w:name w:val="footer"/>
    <w:basedOn w:val="Normal"/>
    <w:link w:val="FooterChar"/>
    <w:uiPriority w:val="99"/>
    <w:unhideWhenUsed/>
    <w:rsid w:val="00BC3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82D"/>
  </w:style>
  <w:style w:type="paragraph" w:styleId="BalloonText">
    <w:name w:val="Balloon Text"/>
    <w:basedOn w:val="Normal"/>
    <w:link w:val="BalloonTextChar"/>
    <w:uiPriority w:val="99"/>
    <w:semiHidden/>
    <w:unhideWhenUsed/>
    <w:rsid w:val="00BC3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82D"/>
    <w:rPr>
      <w:rFonts w:ascii="Tahoma" w:hAnsi="Tahoma" w:cs="Tahoma"/>
      <w:sz w:val="16"/>
      <w:szCs w:val="16"/>
    </w:rPr>
  </w:style>
  <w:style w:type="paragraph" w:styleId="ListParagraph">
    <w:name w:val="List Paragraph"/>
    <w:basedOn w:val="Normal"/>
    <w:uiPriority w:val="34"/>
    <w:qFormat/>
    <w:rsid w:val="008E1532"/>
    <w:pPr>
      <w:ind w:left="720"/>
      <w:contextualSpacing/>
    </w:pPr>
  </w:style>
  <w:style w:type="character" w:customStyle="1" w:styleId="Heading2Char">
    <w:name w:val="Heading 2 Char"/>
    <w:basedOn w:val="DefaultParagraphFont"/>
    <w:link w:val="Heading2"/>
    <w:uiPriority w:val="9"/>
    <w:rsid w:val="00F02C9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02C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089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30089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0089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08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02C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008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82D"/>
  </w:style>
  <w:style w:type="paragraph" w:styleId="Footer">
    <w:name w:val="footer"/>
    <w:basedOn w:val="Normal"/>
    <w:link w:val="FooterChar"/>
    <w:uiPriority w:val="99"/>
    <w:unhideWhenUsed/>
    <w:rsid w:val="00BC3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82D"/>
  </w:style>
  <w:style w:type="paragraph" w:styleId="BalloonText">
    <w:name w:val="Balloon Text"/>
    <w:basedOn w:val="Normal"/>
    <w:link w:val="BalloonTextChar"/>
    <w:uiPriority w:val="99"/>
    <w:semiHidden/>
    <w:unhideWhenUsed/>
    <w:rsid w:val="00BC3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382D"/>
    <w:rPr>
      <w:rFonts w:ascii="Tahoma" w:hAnsi="Tahoma" w:cs="Tahoma"/>
      <w:sz w:val="16"/>
      <w:szCs w:val="16"/>
    </w:rPr>
  </w:style>
  <w:style w:type="paragraph" w:styleId="ListParagraph">
    <w:name w:val="List Paragraph"/>
    <w:basedOn w:val="Normal"/>
    <w:uiPriority w:val="34"/>
    <w:qFormat/>
    <w:rsid w:val="008E1532"/>
    <w:pPr>
      <w:ind w:left="720"/>
      <w:contextualSpacing/>
    </w:pPr>
  </w:style>
  <w:style w:type="character" w:customStyle="1" w:styleId="Heading2Char">
    <w:name w:val="Heading 2 Char"/>
    <w:basedOn w:val="DefaultParagraphFont"/>
    <w:link w:val="Heading2"/>
    <w:uiPriority w:val="9"/>
    <w:rsid w:val="00F02C9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02C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089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30089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0089E"/>
    <w:rPr>
      <w:i/>
      <w:iCs/>
    </w:rPr>
  </w:style>
</w:styles>
</file>

<file path=word/webSettings.xml><?xml version="1.0" encoding="utf-8"?>
<w:webSettings xmlns:r="http://schemas.openxmlformats.org/officeDocument/2006/relationships" xmlns:w="http://schemas.openxmlformats.org/wordprocessingml/2006/main">
  <w:divs>
    <w:div w:id="110441039">
      <w:bodyDiv w:val="1"/>
      <w:marLeft w:val="0"/>
      <w:marRight w:val="0"/>
      <w:marTop w:val="0"/>
      <w:marBottom w:val="0"/>
      <w:divBdr>
        <w:top w:val="none" w:sz="0" w:space="0" w:color="auto"/>
        <w:left w:val="none" w:sz="0" w:space="0" w:color="auto"/>
        <w:bottom w:val="none" w:sz="0" w:space="0" w:color="auto"/>
        <w:right w:val="none" w:sz="0" w:space="0" w:color="auto"/>
      </w:divBdr>
    </w:div>
    <w:div w:id="135687348">
      <w:bodyDiv w:val="1"/>
      <w:marLeft w:val="0"/>
      <w:marRight w:val="0"/>
      <w:marTop w:val="0"/>
      <w:marBottom w:val="0"/>
      <w:divBdr>
        <w:top w:val="none" w:sz="0" w:space="0" w:color="auto"/>
        <w:left w:val="none" w:sz="0" w:space="0" w:color="auto"/>
        <w:bottom w:val="none" w:sz="0" w:space="0" w:color="auto"/>
        <w:right w:val="none" w:sz="0" w:space="0" w:color="auto"/>
      </w:divBdr>
      <w:divsChild>
        <w:div w:id="618025229">
          <w:marLeft w:val="0"/>
          <w:marRight w:val="0"/>
          <w:marTop w:val="0"/>
          <w:marBottom w:val="0"/>
          <w:divBdr>
            <w:top w:val="none" w:sz="0" w:space="0" w:color="auto"/>
            <w:left w:val="none" w:sz="0" w:space="0" w:color="auto"/>
            <w:bottom w:val="none" w:sz="0" w:space="0" w:color="auto"/>
            <w:right w:val="none" w:sz="0" w:space="0" w:color="auto"/>
          </w:divBdr>
          <w:divsChild>
            <w:div w:id="2063289051">
              <w:marLeft w:val="-225"/>
              <w:marRight w:val="-225"/>
              <w:marTop w:val="0"/>
              <w:marBottom w:val="0"/>
              <w:divBdr>
                <w:top w:val="none" w:sz="0" w:space="0" w:color="auto"/>
                <w:left w:val="none" w:sz="0" w:space="0" w:color="auto"/>
                <w:bottom w:val="none" w:sz="0" w:space="0" w:color="auto"/>
                <w:right w:val="none" w:sz="0" w:space="0" w:color="auto"/>
              </w:divBdr>
              <w:divsChild>
                <w:div w:id="724255538">
                  <w:marLeft w:val="0"/>
                  <w:marRight w:val="0"/>
                  <w:marTop w:val="0"/>
                  <w:marBottom w:val="0"/>
                  <w:divBdr>
                    <w:top w:val="none" w:sz="0" w:space="0" w:color="auto"/>
                    <w:left w:val="none" w:sz="0" w:space="0" w:color="auto"/>
                    <w:bottom w:val="none" w:sz="0" w:space="0" w:color="auto"/>
                    <w:right w:val="none" w:sz="0" w:space="0" w:color="auto"/>
                  </w:divBdr>
                </w:div>
              </w:divsChild>
            </w:div>
            <w:div w:id="192427209">
              <w:marLeft w:val="-225"/>
              <w:marRight w:val="-225"/>
              <w:marTop w:val="0"/>
              <w:marBottom w:val="0"/>
              <w:divBdr>
                <w:top w:val="none" w:sz="0" w:space="0" w:color="auto"/>
                <w:left w:val="none" w:sz="0" w:space="0" w:color="auto"/>
                <w:bottom w:val="none" w:sz="0" w:space="0" w:color="auto"/>
                <w:right w:val="none" w:sz="0" w:space="0" w:color="auto"/>
              </w:divBdr>
              <w:divsChild>
                <w:div w:id="1310742843">
                  <w:marLeft w:val="0"/>
                  <w:marRight w:val="0"/>
                  <w:marTop w:val="0"/>
                  <w:marBottom w:val="0"/>
                  <w:divBdr>
                    <w:top w:val="none" w:sz="0" w:space="0" w:color="auto"/>
                    <w:left w:val="none" w:sz="0" w:space="0" w:color="auto"/>
                    <w:bottom w:val="none" w:sz="0" w:space="0" w:color="auto"/>
                    <w:right w:val="none" w:sz="0" w:space="0" w:color="auto"/>
                  </w:divBdr>
                </w:div>
                <w:div w:id="895168218">
                  <w:marLeft w:val="0"/>
                  <w:marRight w:val="0"/>
                  <w:marTop w:val="0"/>
                  <w:marBottom w:val="0"/>
                  <w:divBdr>
                    <w:top w:val="none" w:sz="0" w:space="0" w:color="auto"/>
                    <w:left w:val="none" w:sz="0" w:space="0" w:color="auto"/>
                    <w:bottom w:val="none" w:sz="0" w:space="0" w:color="auto"/>
                    <w:right w:val="none" w:sz="0" w:space="0" w:color="auto"/>
                  </w:divBdr>
                  <w:divsChild>
                    <w:div w:id="1135099002">
                      <w:marLeft w:val="0"/>
                      <w:marRight w:val="0"/>
                      <w:marTop w:val="0"/>
                      <w:marBottom w:val="0"/>
                      <w:divBdr>
                        <w:top w:val="none" w:sz="0" w:space="0" w:color="auto"/>
                        <w:left w:val="none" w:sz="0" w:space="0" w:color="auto"/>
                        <w:bottom w:val="none" w:sz="0" w:space="0" w:color="auto"/>
                        <w:right w:val="none" w:sz="0" w:space="0" w:color="auto"/>
                      </w:divBdr>
                    </w:div>
                    <w:div w:id="1416517624">
                      <w:marLeft w:val="0"/>
                      <w:marRight w:val="0"/>
                      <w:marTop w:val="0"/>
                      <w:marBottom w:val="0"/>
                      <w:divBdr>
                        <w:top w:val="none" w:sz="0" w:space="0" w:color="auto"/>
                        <w:left w:val="none" w:sz="0" w:space="0" w:color="auto"/>
                        <w:bottom w:val="none" w:sz="0" w:space="0" w:color="auto"/>
                        <w:right w:val="none" w:sz="0" w:space="0" w:color="auto"/>
                      </w:divBdr>
                      <w:divsChild>
                        <w:div w:id="1001853148">
                          <w:marLeft w:val="0"/>
                          <w:marRight w:val="0"/>
                          <w:marTop w:val="0"/>
                          <w:marBottom w:val="225"/>
                          <w:divBdr>
                            <w:top w:val="none" w:sz="0" w:space="0" w:color="auto"/>
                            <w:left w:val="none" w:sz="0" w:space="0" w:color="auto"/>
                            <w:bottom w:val="none" w:sz="0" w:space="0" w:color="auto"/>
                            <w:right w:val="none" w:sz="0" w:space="0" w:color="auto"/>
                          </w:divBdr>
                        </w:div>
                        <w:div w:id="1279600651">
                          <w:marLeft w:val="0"/>
                          <w:marRight w:val="0"/>
                          <w:marTop w:val="0"/>
                          <w:marBottom w:val="225"/>
                          <w:divBdr>
                            <w:top w:val="none" w:sz="0" w:space="0" w:color="auto"/>
                            <w:left w:val="none" w:sz="0" w:space="0" w:color="auto"/>
                            <w:bottom w:val="none" w:sz="0" w:space="0" w:color="auto"/>
                            <w:right w:val="none" w:sz="0" w:space="0" w:color="auto"/>
                          </w:divBdr>
                        </w:div>
                      </w:divsChild>
                    </w:div>
                    <w:div w:id="1659729352">
                      <w:marLeft w:val="0"/>
                      <w:marRight w:val="0"/>
                      <w:marTop w:val="0"/>
                      <w:marBottom w:val="0"/>
                      <w:divBdr>
                        <w:top w:val="single" w:sz="6" w:space="11" w:color="E5E5E5"/>
                        <w:left w:val="none" w:sz="0" w:space="0" w:color="auto"/>
                        <w:bottom w:val="none" w:sz="0" w:space="0" w:color="auto"/>
                        <w:right w:val="none" w:sz="0" w:space="0" w:color="auto"/>
                      </w:divBdr>
                    </w:div>
                  </w:divsChild>
                </w:div>
                <w:div w:id="79644174">
                  <w:marLeft w:val="0"/>
                  <w:marRight w:val="0"/>
                  <w:marTop w:val="0"/>
                  <w:marBottom w:val="225"/>
                  <w:divBdr>
                    <w:top w:val="none" w:sz="0" w:space="0" w:color="auto"/>
                    <w:left w:val="none" w:sz="0" w:space="0" w:color="auto"/>
                    <w:bottom w:val="none" w:sz="0" w:space="0" w:color="auto"/>
                    <w:right w:val="none" w:sz="0" w:space="0" w:color="auto"/>
                  </w:divBdr>
                </w:div>
                <w:div w:id="5144626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42462771">
          <w:marLeft w:val="0"/>
          <w:marRight w:val="0"/>
          <w:marTop w:val="0"/>
          <w:marBottom w:val="0"/>
          <w:divBdr>
            <w:top w:val="none" w:sz="0" w:space="0" w:color="auto"/>
            <w:left w:val="none" w:sz="0" w:space="0" w:color="auto"/>
            <w:bottom w:val="none" w:sz="0" w:space="0" w:color="auto"/>
            <w:right w:val="none" w:sz="0" w:space="0" w:color="auto"/>
          </w:divBdr>
          <w:divsChild>
            <w:div w:id="1819228635">
              <w:marLeft w:val="-225"/>
              <w:marRight w:val="-225"/>
              <w:marTop w:val="0"/>
              <w:marBottom w:val="0"/>
              <w:divBdr>
                <w:top w:val="none" w:sz="0" w:space="0" w:color="auto"/>
                <w:left w:val="none" w:sz="0" w:space="0" w:color="auto"/>
                <w:bottom w:val="none" w:sz="0" w:space="0" w:color="auto"/>
                <w:right w:val="none" w:sz="0" w:space="0" w:color="auto"/>
              </w:divBdr>
            </w:div>
          </w:divsChild>
        </w:div>
        <w:div w:id="1277056269">
          <w:marLeft w:val="-225"/>
          <w:marRight w:val="-225"/>
          <w:marTop w:val="0"/>
          <w:marBottom w:val="0"/>
          <w:divBdr>
            <w:top w:val="none" w:sz="0" w:space="0" w:color="auto"/>
            <w:left w:val="none" w:sz="0" w:space="0" w:color="auto"/>
            <w:bottom w:val="none" w:sz="0" w:space="0" w:color="auto"/>
            <w:right w:val="none" w:sz="0" w:space="0" w:color="auto"/>
          </w:divBdr>
          <w:divsChild>
            <w:div w:id="732236700">
              <w:marLeft w:val="0"/>
              <w:marRight w:val="0"/>
              <w:marTop w:val="0"/>
              <w:marBottom w:val="0"/>
              <w:divBdr>
                <w:top w:val="none" w:sz="0" w:space="0" w:color="auto"/>
                <w:left w:val="none" w:sz="0" w:space="0" w:color="auto"/>
                <w:bottom w:val="none" w:sz="0" w:space="0" w:color="auto"/>
                <w:right w:val="none" w:sz="0" w:space="0" w:color="auto"/>
              </w:divBdr>
            </w:div>
            <w:div w:id="1186674253">
              <w:marLeft w:val="0"/>
              <w:marRight w:val="0"/>
              <w:marTop w:val="0"/>
              <w:marBottom w:val="0"/>
              <w:divBdr>
                <w:top w:val="none" w:sz="0" w:space="0" w:color="auto"/>
                <w:left w:val="none" w:sz="0" w:space="0" w:color="auto"/>
                <w:bottom w:val="none" w:sz="0" w:space="0" w:color="auto"/>
                <w:right w:val="none" w:sz="0" w:space="0" w:color="auto"/>
              </w:divBdr>
              <w:divsChild>
                <w:div w:id="157569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57615">
          <w:marLeft w:val="0"/>
          <w:marRight w:val="0"/>
          <w:marTop w:val="0"/>
          <w:marBottom w:val="225"/>
          <w:divBdr>
            <w:top w:val="none" w:sz="0" w:space="0" w:color="auto"/>
            <w:left w:val="none" w:sz="0" w:space="0" w:color="auto"/>
            <w:bottom w:val="none" w:sz="0" w:space="0" w:color="auto"/>
            <w:right w:val="none" w:sz="0" w:space="0" w:color="auto"/>
          </w:divBdr>
        </w:div>
        <w:div w:id="4407787">
          <w:marLeft w:val="0"/>
          <w:marRight w:val="0"/>
          <w:marTop w:val="0"/>
          <w:marBottom w:val="225"/>
          <w:divBdr>
            <w:top w:val="none" w:sz="0" w:space="0" w:color="auto"/>
            <w:left w:val="none" w:sz="0" w:space="0" w:color="auto"/>
            <w:bottom w:val="none" w:sz="0" w:space="0" w:color="auto"/>
            <w:right w:val="none" w:sz="0" w:space="0" w:color="auto"/>
          </w:divBdr>
        </w:div>
        <w:div w:id="979923813">
          <w:marLeft w:val="0"/>
          <w:marRight w:val="0"/>
          <w:marTop w:val="0"/>
          <w:marBottom w:val="225"/>
          <w:divBdr>
            <w:top w:val="none" w:sz="0" w:space="0" w:color="auto"/>
            <w:left w:val="none" w:sz="0" w:space="0" w:color="auto"/>
            <w:bottom w:val="none" w:sz="0" w:space="0" w:color="auto"/>
            <w:right w:val="none" w:sz="0" w:space="0" w:color="auto"/>
          </w:divBdr>
        </w:div>
        <w:div w:id="106046060">
          <w:marLeft w:val="0"/>
          <w:marRight w:val="0"/>
          <w:marTop w:val="0"/>
          <w:marBottom w:val="225"/>
          <w:divBdr>
            <w:top w:val="none" w:sz="0" w:space="0" w:color="auto"/>
            <w:left w:val="none" w:sz="0" w:space="0" w:color="auto"/>
            <w:bottom w:val="none" w:sz="0" w:space="0" w:color="auto"/>
            <w:right w:val="none" w:sz="0" w:space="0" w:color="auto"/>
          </w:divBdr>
        </w:div>
        <w:div w:id="1560508794">
          <w:marLeft w:val="0"/>
          <w:marRight w:val="0"/>
          <w:marTop w:val="0"/>
          <w:marBottom w:val="0"/>
          <w:divBdr>
            <w:top w:val="none" w:sz="0" w:space="0" w:color="auto"/>
            <w:left w:val="none" w:sz="0" w:space="0" w:color="auto"/>
            <w:bottom w:val="none" w:sz="0" w:space="0" w:color="auto"/>
            <w:right w:val="none" w:sz="0" w:space="0" w:color="auto"/>
          </w:divBdr>
          <w:divsChild>
            <w:div w:id="562562948">
              <w:marLeft w:val="0"/>
              <w:marRight w:val="0"/>
              <w:marTop w:val="0"/>
              <w:marBottom w:val="0"/>
              <w:divBdr>
                <w:top w:val="none" w:sz="0" w:space="0" w:color="auto"/>
                <w:left w:val="none" w:sz="0" w:space="0" w:color="auto"/>
                <w:bottom w:val="none" w:sz="0" w:space="0" w:color="auto"/>
                <w:right w:val="none" w:sz="0" w:space="0" w:color="auto"/>
              </w:divBdr>
            </w:div>
          </w:divsChild>
        </w:div>
        <w:div w:id="318964774">
          <w:marLeft w:val="-225"/>
          <w:marRight w:val="-225"/>
          <w:marTop w:val="0"/>
          <w:marBottom w:val="0"/>
          <w:divBdr>
            <w:top w:val="none" w:sz="0" w:space="0" w:color="auto"/>
            <w:left w:val="none" w:sz="0" w:space="0" w:color="auto"/>
            <w:bottom w:val="none" w:sz="0" w:space="0" w:color="auto"/>
            <w:right w:val="none" w:sz="0" w:space="0" w:color="auto"/>
          </w:divBdr>
          <w:divsChild>
            <w:div w:id="1899391663">
              <w:marLeft w:val="0"/>
              <w:marRight w:val="0"/>
              <w:marTop w:val="0"/>
              <w:marBottom w:val="0"/>
              <w:divBdr>
                <w:top w:val="none" w:sz="0" w:space="0" w:color="auto"/>
                <w:left w:val="none" w:sz="0" w:space="0" w:color="auto"/>
                <w:bottom w:val="none" w:sz="0" w:space="0" w:color="auto"/>
                <w:right w:val="none" w:sz="0" w:space="0" w:color="auto"/>
              </w:divBdr>
            </w:div>
            <w:div w:id="2137333169">
              <w:marLeft w:val="0"/>
              <w:marRight w:val="0"/>
              <w:marTop w:val="0"/>
              <w:marBottom w:val="0"/>
              <w:divBdr>
                <w:top w:val="none" w:sz="0" w:space="0" w:color="auto"/>
                <w:left w:val="none" w:sz="0" w:space="0" w:color="auto"/>
                <w:bottom w:val="none" w:sz="0" w:space="0" w:color="auto"/>
                <w:right w:val="none" w:sz="0" w:space="0" w:color="auto"/>
              </w:divBdr>
              <w:divsChild>
                <w:div w:id="1076516163">
                  <w:marLeft w:val="0"/>
                  <w:marRight w:val="0"/>
                  <w:marTop w:val="0"/>
                  <w:marBottom w:val="0"/>
                  <w:divBdr>
                    <w:top w:val="none" w:sz="0" w:space="0" w:color="auto"/>
                    <w:left w:val="none" w:sz="0" w:space="0" w:color="auto"/>
                    <w:bottom w:val="none" w:sz="0" w:space="0" w:color="auto"/>
                    <w:right w:val="none" w:sz="0" w:space="0" w:color="auto"/>
                  </w:divBdr>
                  <w:divsChild>
                    <w:div w:id="1376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50879">
              <w:marLeft w:val="0"/>
              <w:marRight w:val="0"/>
              <w:marTop w:val="0"/>
              <w:marBottom w:val="0"/>
              <w:divBdr>
                <w:top w:val="none" w:sz="0" w:space="0" w:color="auto"/>
                <w:left w:val="none" w:sz="0" w:space="0" w:color="auto"/>
                <w:bottom w:val="none" w:sz="0" w:space="0" w:color="auto"/>
                <w:right w:val="none" w:sz="0" w:space="0" w:color="auto"/>
              </w:divBdr>
            </w:div>
          </w:divsChild>
        </w:div>
        <w:div w:id="1113865933">
          <w:marLeft w:val="0"/>
          <w:marRight w:val="0"/>
          <w:marTop w:val="0"/>
          <w:marBottom w:val="0"/>
          <w:divBdr>
            <w:top w:val="none" w:sz="0" w:space="0" w:color="auto"/>
            <w:left w:val="none" w:sz="0" w:space="0" w:color="auto"/>
            <w:bottom w:val="none" w:sz="0" w:space="0" w:color="auto"/>
            <w:right w:val="none" w:sz="0" w:space="0" w:color="auto"/>
          </w:divBdr>
          <w:divsChild>
            <w:div w:id="1676304326">
              <w:marLeft w:val="0"/>
              <w:marRight w:val="0"/>
              <w:marTop w:val="0"/>
              <w:marBottom w:val="0"/>
              <w:divBdr>
                <w:top w:val="none" w:sz="0" w:space="0" w:color="auto"/>
                <w:left w:val="none" w:sz="0" w:space="0" w:color="auto"/>
                <w:bottom w:val="none" w:sz="0" w:space="0" w:color="auto"/>
                <w:right w:val="none" w:sz="0" w:space="0" w:color="auto"/>
              </w:divBdr>
              <w:divsChild>
                <w:div w:id="198590911">
                  <w:marLeft w:val="-225"/>
                  <w:marRight w:val="-225"/>
                  <w:marTop w:val="0"/>
                  <w:marBottom w:val="0"/>
                  <w:divBdr>
                    <w:top w:val="none" w:sz="0" w:space="0" w:color="auto"/>
                    <w:left w:val="none" w:sz="0" w:space="0" w:color="auto"/>
                    <w:bottom w:val="none" w:sz="0" w:space="0" w:color="auto"/>
                    <w:right w:val="none" w:sz="0" w:space="0" w:color="auto"/>
                  </w:divBdr>
                  <w:divsChild>
                    <w:div w:id="1138642914">
                      <w:marLeft w:val="0"/>
                      <w:marRight w:val="0"/>
                      <w:marTop w:val="0"/>
                      <w:marBottom w:val="0"/>
                      <w:divBdr>
                        <w:top w:val="none" w:sz="0" w:space="0" w:color="auto"/>
                        <w:left w:val="none" w:sz="0" w:space="0" w:color="auto"/>
                        <w:bottom w:val="none" w:sz="0" w:space="0" w:color="auto"/>
                        <w:right w:val="none" w:sz="0" w:space="0" w:color="auto"/>
                      </w:divBdr>
                    </w:div>
                    <w:div w:id="8694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559863">
          <w:marLeft w:val="0"/>
          <w:marRight w:val="630"/>
          <w:marTop w:val="0"/>
          <w:marBottom w:val="1695"/>
          <w:divBdr>
            <w:top w:val="none" w:sz="0" w:space="0" w:color="auto"/>
            <w:left w:val="none" w:sz="0" w:space="0" w:color="auto"/>
            <w:bottom w:val="none" w:sz="0" w:space="0" w:color="auto"/>
            <w:right w:val="none" w:sz="0" w:space="0" w:color="auto"/>
          </w:divBdr>
          <w:divsChild>
            <w:div w:id="401290980">
              <w:marLeft w:val="0"/>
              <w:marRight w:val="0"/>
              <w:marTop w:val="0"/>
              <w:marBottom w:val="0"/>
              <w:divBdr>
                <w:top w:val="none" w:sz="0" w:space="0" w:color="auto"/>
                <w:left w:val="none" w:sz="0" w:space="0" w:color="auto"/>
                <w:bottom w:val="none" w:sz="0" w:space="0" w:color="auto"/>
                <w:right w:val="none" w:sz="0" w:space="0" w:color="auto"/>
              </w:divBdr>
              <w:divsChild>
                <w:div w:id="826938754">
                  <w:marLeft w:val="0"/>
                  <w:marRight w:val="0"/>
                  <w:marTop w:val="0"/>
                  <w:marBottom w:val="0"/>
                  <w:divBdr>
                    <w:top w:val="none" w:sz="0" w:space="0" w:color="auto"/>
                    <w:left w:val="none" w:sz="0" w:space="0" w:color="auto"/>
                    <w:bottom w:val="none" w:sz="0" w:space="0" w:color="auto"/>
                    <w:right w:val="none" w:sz="0" w:space="0" w:color="auto"/>
                  </w:divBdr>
                  <w:divsChild>
                    <w:div w:id="772477884">
                      <w:marLeft w:val="0"/>
                      <w:marRight w:val="0"/>
                      <w:marTop w:val="0"/>
                      <w:marBottom w:val="0"/>
                      <w:divBdr>
                        <w:top w:val="none" w:sz="0" w:space="0" w:color="auto"/>
                        <w:left w:val="none" w:sz="0" w:space="0" w:color="auto"/>
                        <w:bottom w:val="none" w:sz="0" w:space="0" w:color="auto"/>
                        <w:right w:val="none" w:sz="0" w:space="0" w:color="auto"/>
                      </w:divBdr>
                      <w:divsChild>
                        <w:div w:id="1641110345">
                          <w:marLeft w:val="0"/>
                          <w:marRight w:val="0"/>
                          <w:marTop w:val="0"/>
                          <w:marBottom w:val="0"/>
                          <w:divBdr>
                            <w:top w:val="none" w:sz="0" w:space="0" w:color="auto"/>
                            <w:left w:val="none" w:sz="0" w:space="0" w:color="auto"/>
                            <w:bottom w:val="none" w:sz="0" w:space="0" w:color="auto"/>
                            <w:right w:val="none" w:sz="0" w:space="0" w:color="auto"/>
                          </w:divBdr>
                        </w:div>
                      </w:divsChild>
                    </w:div>
                    <w:div w:id="949430975">
                      <w:marLeft w:val="0"/>
                      <w:marRight w:val="0"/>
                      <w:marTop w:val="0"/>
                      <w:marBottom w:val="0"/>
                      <w:divBdr>
                        <w:top w:val="none" w:sz="0" w:space="0" w:color="auto"/>
                        <w:left w:val="none" w:sz="0" w:space="0" w:color="auto"/>
                        <w:bottom w:val="none" w:sz="0" w:space="0" w:color="auto"/>
                        <w:right w:val="none" w:sz="0" w:space="0" w:color="auto"/>
                      </w:divBdr>
                      <w:divsChild>
                        <w:div w:id="848714464">
                          <w:marLeft w:val="0"/>
                          <w:marRight w:val="0"/>
                          <w:marTop w:val="0"/>
                          <w:marBottom w:val="0"/>
                          <w:divBdr>
                            <w:top w:val="none" w:sz="0" w:space="0" w:color="auto"/>
                            <w:left w:val="none" w:sz="0" w:space="0" w:color="auto"/>
                            <w:bottom w:val="none" w:sz="0" w:space="0" w:color="auto"/>
                            <w:right w:val="none" w:sz="0" w:space="0" w:color="auto"/>
                          </w:divBdr>
                        </w:div>
                        <w:div w:id="1750688713">
                          <w:marLeft w:val="0"/>
                          <w:marRight w:val="0"/>
                          <w:marTop w:val="0"/>
                          <w:marBottom w:val="0"/>
                          <w:divBdr>
                            <w:top w:val="none" w:sz="0" w:space="0" w:color="auto"/>
                            <w:left w:val="none" w:sz="0" w:space="0" w:color="auto"/>
                            <w:bottom w:val="none" w:sz="0" w:space="0" w:color="auto"/>
                            <w:right w:val="none" w:sz="0" w:space="0" w:color="auto"/>
                          </w:divBdr>
                          <w:divsChild>
                            <w:div w:id="457796074">
                              <w:marLeft w:val="0"/>
                              <w:marRight w:val="0"/>
                              <w:marTop w:val="0"/>
                              <w:marBottom w:val="0"/>
                              <w:divBdr>
                                <w:top w:val="none" w:sz="0" w:space="0" w:color="auto"/>
                                <w:left w:val="none" w:sz="0" w:space="0" w:color="auto"/>
                                <w:bottom w:val="none" w:sz="0" w:space="0" w:color="auto"/>
                                <w:right w:val="none" w:sz="0" w:space="0" w:color="auto"/>
                              </w:divBdr>
                              <w:divsChild>
                                <w:div w:id="1779326574">
                                  <w:marLeft w:val="30"/>
                                  <w:marRight w:val="30"/>
                                  <w:marTop w:val="300"/>
                                  <w:marBottom w:val="240"/>
                                  <w:divBdr>
                                    <w:top w:val="none" w:sz="0" w:space="0" w:color="auto"/>
                                    <w:left w:val="none" w:sz="0" w:space="0" w:color="auto"/>
                                    <w:bottom w:val="none" w:sz="0" w:space="0" w:color="auto"/>
                                    <w:right w:val="none" w:sz="0" w:space="0" w:color="auto"/>
                                  </w:divBdr>
                                </w:div>
                                <w:div w:id="1143044645">
                                  <w:marLeft w:val="-2100"/>
                                  <w:marRight w:val="0"/>
                                  <w:marTop w:val="0"/>
                                  <w:marBottom w:val="0"/>
                                  <w:divBdr>
                                    <w:top w:val="none" w:sz="0" w:space="0" w:color="auto"/>
                                    <w:left w:val="none" w:sz="0" w:space="0" w:color="auto"/>
                                    <w:bottom w:val="none" w:sz="0" w:space="0" w:color="auto"/>
                                    <w:right w:val="none" w:sz="0" w:space="0" w:color="auto"/>
                                  </w:divBdr>
                                  <w:divsChild>
                                    <w:div w:id="791902789">
                                      <w:marLeft w:val="0"/>
                                      <w:marRight w:val="0"/>
                                      <w:marTop w:val="150"/>
                                      <w:marBottom w:val="150"/>
                                      <w:divBdr>
                                        <w:top w:val="none" w:sz="0" w:space="0" w:color="auto"/>
                                        <w:left w:val="none" w:sz="0" w:space="0" w:color="auto"/>
                                        <w:bottom w:val="none" w:sz="0" w:space="0" w:color="auto"/>
                                        <w:right w:val="none" w:sz="0" w:space="0" w:color="auto"/>
                                      </w:divBdr>
                                    </w:div>
                                  </w:divsChild>
                                </w:div>
                                <w:div w:id="195047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07348793">
                      <w:marLeft w:val="0"/>
                      <w:marRight w:val="0"/>
                      <w:marTop w:val="0"/>
                      <w:marBottom w:val="0"/>
                      <w:divBdr>
                        <w:top w:val="none" w:sz="0" w:space="0" w:color="auto"/>
                        <w:left w:val="none" w:sz="0" w:space="0" w:color="auto"/>
                        <w:bottom w:val="none" w:sz="0" w:space="0" w:color="auto"/>
                        <w:right w:val="none" w:sz="0" w:space="0" w:color="auto"/>
                      </w:divBdr>
                      <w:divsChild>
                        <w:div w:id="1874877352">
                          <w:marLeft w:val="0"/>
                          <w:marRight w:val="0"/>
                          <w:marTop w:val="0"/>
                          <w:marBottom w:val="0"/>
                          <w:divBdr>
                            <w:top w:val="none" w:sz="0" w:space="0" w:color="auto"/>
                            <w:left w:val="none" w:sz="0" w:space="0" w:color="auto"/>
                            <w:bottom w:val="none" w:sz="0" w:space="0" w:color="auto"/>
                            <w:right w:val="none" w:sz="0" w:space="0" w:color="auto"/>
                          </w:divBdr>
                        </w:div>
                      </w:divsChild>
                    </w:div>
                    <w:div w:id="662585138">
                      <w:marLeft w:val="0"/>
                      <w:marRight w:val="0"/>
                      <w:marTop w:val="0"/>
                      <w:marBottom w:val="0"/>
                      <w:divBdr>
                        <w:top w:val="none" w:sz="0" w:space="0" w:color="auto"/>
                        <w:left w:val="none" w:sz="0" w:space="0" w:color="auto"/>
                        <w:bottom w:val="none" w:sz="0" w:space="0" w:color="auto"/>
                        <w:right w:val="none" w:sz="0" w:space="0" w:color="auto"/>
                      </w:divBdr>
                      <w:divsChild>
                        <w:div w:id="1380325272">
                          <w:marLeft w:val="0"/>
                          <w:marRight w:val="0"/>
                          <w:marTop w:val="0"/>
                          <w:marBottom w:val="0"/>
                          <w:divBdr>
                            <w:top w:val="none" w:sz="0" w:space="0" w:color="auto"/>
                            <w:left w:val="none" w:sz="0" w:space="0" w:color="auto"/>
                            <w:bottom w:val="none" w:sz="0" w:space="0" w:color="auto"/>
                            <w:right w:val="none" w:sz="0" w:space="0" w:color="auto"/>
                          </w:divBdr>
                        </w:div>
                      </w:divsChild>
                    </w:div>
                    <w:div w:id="187791703">
                      <w:marLeft w:val="0"/>
                      <w:marRight w:val="0"/>
                      <w:marTop w:val="0"/>
                      <w:marBottom w:val="0"/>
                      <w:divBdr>
                        <w:top w:val="none" w:sz="0" w:space="0" w:color="auto"/>
                        <w:left w:val="none" w:sz="0" w:space="0" w:color="auto"/>
                        <w:bottom w:val="none" w:sz="0" w:space="0" w:color="auto"/>
                        <w:right w:val="none" w:sz="0" w:space="0" w:color="auto"/>
                      </w:divBdr>
                      <w:divsChild>
                        <w:div w:id="248774770">
                          <w:marLeft w:val="0"/>
                          <w:marRight w:val="0"/>
                          <w:marTop w:val="0"/>
                          <w:marBottom w:val="0"/>
                          <w:divBdr>
                            <w:top w:val="none" w:sz="0" w:space="0" w:color="auto"/>
                            <w:left w:val="none" w:sz="0" w:space="0" w:color="auto"/>
                            <w:bottom w:val="none" w:sz="0" w:space="0" w:color="auto"/>
                            <w:right w:val="none" w:sz="0" w:space="0" w:color="auto"/>
                          </w:divBdr>
                        </w:div>
                      </w:divsChild>
                    </w:div>
                    <w:div w:id="2099329120">
                      <w:marLeft w:val="0"/>
                      <w:marRight w:val="0"/>
                      <w:marTop w:val="0"/>
                      <w:marBottom w:val="0"/>
                      <w:divBdr>
                        <w:top w:val="none" w:sz="0" w:space="0" w:color="auto"/>
                        <w:left w:val="none" w:sz="0" w:space="0" w:color="auto"/>
                        <w:bottom w:val="none" w:sz="0" w:space="0" w:color="auto"/>
                        <w:right w:val="none" w:sz="0" w:space="0" w:color="auto"/>
                      </w:divBdr>
                      <w:divsChild>
                        <w:div w:id="895824045">
                          <w:marLeft w:val="0"/>
                          <w:marRight w:val="0"/>
                          <w:marTop w:val="150"/>
                          <w:marBottom w:val="150"/>
                          <w:divBdr>
                            <w:top w:val="none" w:sz="0" w:space="0" w:color="auto"/>
                            <w:left w:val="none" w:sz="0" w:space="0" w:color="auto"/>
                            <w:bottom w:val="none" w:sz="0" w:space="0" w:color="auto"/>
                            <w:right w:val="none" w:sz="0" w:space="0" w:color="auto"/>
                          </w:divBdr>
                        </w:div>
                      </w:divsChild>
                    </w:div>
                    <w:div w:id="1187452564">
                      <w:marLeft w:val="0"/>
                      <w:marRight w:val="0"/>
                      <w:marTop w:val="0"/>
                      <w:marBottom w:val="0"/>
                      <w:divBdr>
                        <w:top w:val="none" w:sz="0" w:space="0" w:color="auto"/>
                        <w:left w:val="none" w:sz="0" w:space="0" w:color="auto"/>
                        <w:bottom w:val="none" w:sz="0" w:space="0" w:color="auto"/>
                        <w:right w:val="none" w:sz="0" w:space="0" w:color="auto"/>
                      </w:divBdr>
                      <w:divsChild>
                        <w:div w:id="1374385842">
                          <w:marLeft w:val="0"/>
                          <w:marRight w:val="0"/>
                          <w:marTop w:val="0"/>
                          <w:marBottom w:val="0"/>
                          <w:divBdr>
                            <w:top w:val="none" w:sz="0" w:space="0" w:color="auto"/>
                            <w:left w:val="none" w:sz="0" w:space="0" w:color="auto"/>
                            <w:bottom w:val="none" w:sz="0" w:space="0" w:color="auto"/>
                            <w:right w:val="none" w:sz="0" w:space="0" w:color="auto"/>
                          </w:divBdr>
                        </w:div>
                        <w:div w:id="631012456">
                          <w:marLeft w:val="0"/>
                          <w:marRight w:val="0"/>
                          <w:marTop w:val="0"/>
                          <w:marBottom w:val="0"/>
                          <w:divBdr>
                            <w:top w:val="single" w:sz="6" w:space="0" w:color="EEEEEE"/>
                            <w:left w:val="none" w:sz="0" w:space="0" w:color="auto"/>
                            <w:bottom w:val="none" w:sz="0" w:space="0" w:color="auto"/>
                            <w:right w:val="none" w:sz="0" w:space="0" w:color="auto"/>
                          </w:divBdr>
                        </w:div>
                      </w:divsChild>
                    </w:div>
                  </w:divsChild>
                </w:div>
              </w:divsChild>
            </w:div>
          </w:divsChild>
        </w:div>
        <w:div w:id="524366558">
          <w:marLeft w:val="0"/>
          <w:marRight w:val="600"/>
          <w:marTop w:val="0"/>
          <w:marBottom w:val="450"/>
          <w:divBdr>
            <w:top w:val="none" w:sz="0" w:space="0" w:color="auto"/>
            <w:left w:val="none" w:sz="0" w:space="0" w:color="auto"/>
            <w:bottom w:val="none" w:sz="0" w:space="0" w:color="auto"/>
            <w:right w:val="none" w:sz="0" w:space="0" w:color="auto"/>
          </w:divBdr>
          <w:divsChild>
            <w:div w:id="1099906777">
              <w:marLeft w:val="0"/>
              <w:marRight w:val="0"/>
              <w:marTop w:val="0"/>
              <w:marBottom w:val="90"/>
              <w:divBdr>
                <w:top w:val="none" w:sz="0" w:space="0" w:color="1181F0"/>
                <w:left w:val="none" w:sz="0" w:space="0" w:color="1181F0"/>
                <w:bottom w:val="none" w:sz="0" w:space="0" w:color="1181F0"/>
                <w:right w:val="none" w:sz="0" w:space="0" w:color="1181F0"/>
              </w:divBdr>
              <w:divsChild>
                <w:div w:id="106379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02035">
      <w:bodyDiv w:val="1"/>
      <w:marLeft w:val="0"/>
      <w:marRight w:val="0"/>
      <w:marTop w:val="0"/>
      <w:marBottom w:val="0"/>
      <w:divBdr>
        <w:top w:val="none" w:sz="0" w:space="0" w:color="auto"/>
        <w:left w:val="none" w:sz="0" w:space="0" w:color="auto"/>
        <w:bottom w:val="none" w:sz="0" w:space="0" w:color="auto"/>
        <w:right w:val="none" w:sz="0" w:space="0" w:color="auto"/>
      </w:divBdr>
    </w:div>
    <w:div w:id="198195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BE6B5-19FE-447D-BD81-2FEF9FFA7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2019-11-04T12:19:00Z</dcterms:created>
  <dcterms:modified xsi:type="dcterms:W3CDTF">2019-11-04T12:19:00Z</dcterms:modified>
</cp:coreProperties>
</file>